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E9672" w14:textId="0C60EC93" w:rsidR="00D67652" w:rsidRPr="008C132E" w:rsidRDefault="008F39F2" w:rsidP="008C132E">
      <w:pPr>
        <w:spacing w:after="0"/>
        <w:rPr>
          <w:b/>
          <w:color w:val="EB3741"/>
          <w:sz w:val="36"/>
          <w:szCs w:val="36"/>
          <w:lang w:val="fr-FR"/>
        </w:rPr>
      </w:pPr>
      <w:r w:rsidRPr="008F39F2">
        <w:rPr>
          <w:b/>
          <w:noProof/>
          <w:color w:val="EB3741"/>
          <w:sz w:val="36"/>
          <w:szCs w:val="36"/>
          <w:lang w:val="fr-FR" w:eastAsia="fr-FR"/>
        </w:rPr>
        <w:drawing>
          <wp:anchor distT="0" distB="0" distL="114300" distR="114300" simplePos="0" relativeHeight="251664384" behindDoc="0" locked="0" layoutInCell="1" allowOverlap="1" wp14:anchorId="22E9EA54" wp14:editId="17F48EFD">
            <wp:simplePos x="0" y="0"/>
            <wp:positionH relativeFrom="column">
              <wp:posOffset>0</wp:posOffset>
            </wp:positionH>
            <wp:positionV relativeFrom="paragraph">
              <wp:posOffset>76835</wp:posOffset>
            </wp:positionV>
            <wp:extent cx="746825" cy="762066"/>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46825" cy="762066"/>
                    </a:xfrm>
                    <a:prstGeom prst="rect">
                      <a:avLst/>
                    </a:prstGeom>
                  </pic:spPr>
                </pic:pic>
              </a:graphicData>
            </a:graphic>
          </wp:anchor>
        </w:drawing>
      </w:r>
      <w:r w:rsidR="00985B6B" w:rsidRPr="008C132E">
        <w:rPr>
          <w:b/>
          <w:color w:val="EB3741"/>
          <w:sz w:val="36"/>
          <w:szCs w:val="36"/>
          <w:lang w:val="fr-FR"/>
        </w:rPr>
        <w:t>Étape</w:t>
      </w:r>
      <w:r w:rsidRPr="008C132E">
        <w:rPr>
          <w:b/>
          <w:color w:val="EB3741"/>
          <w:sz w:val="36"/>
          <w:szCs w:val="36"/>
          <w:lang w:val="fr-FR"/>
        </w:rPr>
        <w:t xml:space="preserve"> </w:t>
      </w:r>
      <w:r w:rsidR="008C132E" w:rsidRPr="008C132E">
        <w:rPr>
          <w:b/>
          <w:color w:val="EB3741"/>
          <w:sz w:val="36"/>
          <w:szCs w:val="36"/>
          <w:lang w:val="fr-FR"/>
        </w:rPr>
        <w:t xml:space="preserve">4 </w:t>
      </w:r>
      <w:r w:rsidRPr="008C132E">
        <w:rPr>
          <w:b/>
          <w:color w:val="EB3741"/>
          <w:sz w:val="36"/>
          <w:szCs w:val="36"/>
          <w:lang w:val="fr-FR"/>
        </w:rPr>
        <w:t>:</w:t>
      </w:r>
      <w:r w:rsidR="00D67652" w:rsidRPr="008C132E">
        <w:rPr>
          <w:b/>
          <w:color w:val="EB3741"/>
          <w:sz w:val="36"/>
          <w:szCs w:val="36"/>
          <w:lang w:val="fr-FR"/>
        </w:rPr>
        <w:t xml:space="preserve"> </w:t>
      </w:r>
      <w:r w:rsidR="008C132E" w:rsidRPr="008C132E">
        <w:rPr>
          <w:b/>
          <w:color w:val="EB3741"/>
          <w:sz w:val="36"/>
          <w:szCs w:val="36"/>
          <w:lang w:val="fr-FR"/>
        </w:rPr>
        <w:t xml:space="preserve">Mise en œuvre </w:t>
      </w:r>
      <w:r w:rsidR="007E21CD">
        <w:rPr>
          <w:b/>
          <w:color w:val="EB3741"/>
          <w:sz w:val="36"/>
          <w:szCs w:val="36"/>
          <w:lang w:val="fr-FR"/>
        </w:rPr>
        <w:t xml:space="preserve">et suivi </w:t>
      </w:r>
      <w:r w:rsidR="008C132E" w:rsidRPr="008C132E">
        <w:rPr>
          <w:b/>
          <w:color w:val="EB3741"/>
          <w:sz w:val="36"/>
          <w:szCs w:val="36"/>
          <w:lang w:val="fr-FR"/>
        </w:rPr>
        <w:t>conjoint</w:t>
      </w:r>
      <w:r w:rsidR="007E21CD">
        <w:rPr>
          <w:b/>
          <w:color w:val="EB3741"/>
          <w:sz w:val="36"/>
          <w:szCs w:val="36"/>
          <w:lang w:val="fr-FR"/>
        </w:rPr>
        <w:t>,</w:t>
      </w:r>
      <w:r w:rsidR="00985B6B">
        <w:rPr>
          <w:b/>
          <w:color w:val="EB3741"/>
          <w:sz w:val="36"/>
          <w:szCs w:val="36"/>
          <w:lang w:val="fr-FR"/>
        </w:rPr>
        <w:t xml:space="preserve"> et </w:t>
      </w:r>
      <w:r w:rsidR="007E21CD">
        <w:rPr>
          <w:b/>
          <w:color w:val="EB3741"/>
          <w:sz w:val="36"/>
          <w:szCs w:val="36"/>
          <w:lang w:val="fr-FR"/>
        </w:rPr>
        <w:t>évaluation</w:t>
      </w:r>
      <w:r w:rsidR="00985B6B">
        <w:rPr>
          <w:b/>
          <w:color w:val="EB3741"/>
          <w:sz w:val="36"/>
          <w:szCs w:val="36"/>
          <w:lang w:val="fr-FR"/>
        </w:rPr>
        <w:t xml:space="preserve"> de </w:t>
      </w:r>
      <w:r w:rsidR="007E21CD">
        <w:rPr>
          <w:b/>
          <w:color w:val="EB3741"/>
          <w:sz w:val="36"/>
          <w:szCs w:val="36"/>
          <w:lang w:val="fr-FR"/>
        </w:rPr>
        <w:t>la</w:t>
      </w:r>
      <w:r w:rsidR="008C132E">
        <w:rPr>
          <w:b/>
          <w:color w:val="EB3741"/>
          <w:sz w:val="36"/>
          <w:szCs w:val="36"/>
          <w:lang w:val="fr-FR"/>
        </w:rPr>
        <w:t xml:space="preserve">                   collaboration</w:t>
      </w:r>
    </w:p>
    <w:p w14:paraId="5FEF296B" w14:textId="780687AB" w:rsidR="00B0524B" w:rsidRPr="007E21CD" w:rsidRDefault="008C132E" w:rsidP="003D72FC">
      <w:pPr>
        <w:spacing w:before="40" w:after="40"/>
        <w:rPr>
          <w:bCs/>
          <w:color w:val="EB3741"/>
          <w:sz w:val="32"/>
          <w:szCs w:val="32"/>
          <w:lang w:val="fr-FR"/>
        </w:rPr>
      </w:pPr>
      <w:r w:rsidRPr="007E21CD">
        <w:rPr>
          <w:bCs/>
          <w:color w:val="EB3741"/>
          <w:sz w:val="32"/>
          <w:szCs w:val="32"/>
          <w:lang w:val="fr-FR"/>
        </w:rPr>
        <w:t xml:space="preserve">Annexes </w:t>
      </w:r>
      <w:r w:rsidR="007E21CD" w:rsidRPr="007E21CD">
        <w:rPr>
          <w:bCs/>
          <w:color w:val="EB3741"/>
          <w:sz w:val="32"/>
          <w:szCs w:val="32"/>
          <w:lang w:val="fr-FR"/>
        </w:rPr>
        <w:t xml:space="preserve">pour </w:t>
      </w:r>
      <w:r w:rsidRPr="007E21CD">
        <w:rPr>
          <w:bCs/>
          <w:color w:val="EB3741"/>
          <w:sz w:val="32"/>
          <w:szCs w:val="32"/>
          <w:lang w:val="fr-FR"/>
        </w:rPr>
        <w:t xml:space="preserve">faciliter la </w:t>
      </w:r>
      <w:r w:rsidR="00985B6B" w:rsidRPr="007E21CD">
        <w:rPr>
          <w:bCs/>
          <w:color w:val="EB3741"/>
          <w:sz w:val="32"/>
          <w:szCs w:val="32"/>
          <w:lang w:val="fr-FR"/>
        </w:rPr>
        <w:t xml:space="preserve">mise en </w:t>
      </w:r>
      <w:r w:rsidR="00010154" w:rsidRPr="007E21CD">
        <w:rPr>
          <w:bCs/>
          <w:color w:val="EB3741"/>
          <w:sz w:val="32"/>
          <w:szCs w:val="32"/>
          <w:lang w:val="fr-FR"/>
        </w:rPr>
        <w:t>œuvre</w:t>
      </w:r>
      <w:r w:rsidRPr="007E21CD">
        <w:rPr>
          <w:bCs/>
          <w:color w:val="EB3741"/>
          <w:sz w:val="32"/>
          <w:szCs w:val="32"/>
          <w:lang w:val="fr-FR"/>
        </w:rPr>
        <w:t xml:space="preserve"> des “étapes” d</w:t>
      </w:r>
      <w:r w:rsidR="00096075" w:rsidRPr="007E21CD">
        <w:rPr>
          <w:bCs/>
          <w:color w:val="EB3741"/>
          <w:sz w:val="32"/>
          <w:szCs w:val="32"/>
          <w:lang w:val="fr-FR"/>
        </w:rPr>
        <w:t xml:space="preserve">e </w:t>
      </w:r>
      <w:r w:rsidR="004A2E4B" w:rsidRPr="007E21CD">
        <w:rPr>
          <w:bCs/>
          <w:color w:val="EB3741"/>
          <w:sz w:val="32"/>
          <w:szCs w:val="32"/>
          <w:lang w:val="fr-FR"/>
        </w:rPr>
        <w:t xml:space="preserve">collaboration </w:t>
      </w:r>
    </w:p>
    <w:p w14:paraId="34F1D7F7" w14:textId="77777777" w:rsidR="003D72FC" w:rsidRPr="008C132E" w:rsidRDefault="003D72FC" w:rsidP="008F39F2">
      <w:pPr>
        <w:spacing w:after="0"/>
        <w:ind w:left="2160" w:hanging="1440"/>
        <w:rPr>
          <w:rFonts w:ascii="Calibri" w:eastAsia="Calibri" w:hAnsi="Calibri" w:cs="Calibri"/>
          <w:b/>
          <w:bCs/>
          <w:color w:val="EB3741"/>
          <w:lang w:val="fr-FR"/>
        </w:rPr>
      </w:pPr>
    </w:p>
    <w:p w14:paraId="4D9188A3" w14:textId="202339C1" w:rsidR="00B44173" w:rsidRPr="007E21CD" w:rsidRDefault="00D27B8B" w:rsidP="00B44173">
      <w:pPr>
        <w:spacing w:after="0"/>
        <w:ind w:left="2160" w:hanging="1440"/>
        <w:rPr>
          <w:rFonts w:ascii="Calibri" w:eastAsia="Calibri" w:hAnsi="Calibri" w:cs="Calibri"/>
          <w:b/>
          <w:bCs/>
          <w:color w:val="EB3741"/>
          <w:lang w:val="fr-FR"/>
        </w:rPr>
      </w:pPr>
      <w:hyperlink w:anchor="Annex11" w:history="1">
        <w:r w:rsidR="00B44173" w:rsidRPr="007E21CD">
          <w:rPr>
            <w:rStyle w:val="Hyperlink"/>
            <w:rFonts w:ascii="Calibri" w:eastAsia="Calibri" w:hAnsi="Calibri" w:cs="Calibri"/>
            <w:b/>
            <w:bCs/>
            <w:color w:val="EB3741"/>
            <w:lang w:val="fr-FR"/>
          </w:rPr>
          <w:t>Annexe 11</w:t>
        </w:r>
      </w:hyperlink>
      <w:r w:rsidR="00B44173" w:rsidRPr="007E21CD">
        <w:rPr>
          <w:rFonts w:ascii="Calibri" w:eastAsia="Calibri" w:hAnsi="Calibri" w:cs="Calibri"/>
          <w:b/>
          <w:bCs/>
          <w:color w:val="EB3741"/>
          <w:lang w:val="fr-FR"/>
        </w:rPr>
        <w:t xml:space="preserve">         Différenciation et exécution d'activités complémentaires et communes dans chaque secteur </w:t>
      </w:r>
    </w:p>
    <w:p w14:paraId="6333A1F1" w14:textId="5FFCEE25" w:rsidR="00B44173" w:rsidRPr="007E21CD" w:rsidRDefault="00D27B8B" w:rsidP="00B44173">
      <w:pPr>
        <w:spacing w:after="0"/>
        <w:ind w:left="2160" w:hanging="1440"/>
        <w:rPr>
          <w:rFonts w:ascii="Calibri" w:eastAsia="Calibri" w:hAnsi="Calibri" w:cs="Calibri"/>
          <w:b/>
          <w:bCs/>
          <w:color w:val="EB3741"/>
          <w:lang w:val="fr-FR"/>
        </w:rPr>
      </w:pPr>
      <w:hyperlink w:anchor="Annex12" w:history="1">
        <w:r w:rsidR="00B44173" w:rsidRPr="007E21CD">
          <w:rPr>
            <w:rStyle w:val="Hyperlink"/>
            <w:rFonts w:ascii="Calibri" w:eastAsia="Calibri" w:hAnsi="Calibri" w:cs="Calibri"/>
            <w:b/>
            <w:bCs/>
            <w:color w:val="EB3741"/>
            <w:lang w:val="fr-FR"/>
          </w:rPr>
          <w:t>Annexe 12</w:t>
        </w:r>
      </w:hyperlink>
      <w:r w:rsidR="00B44173" w:rsidRPr="007E21CD">
        <w:rPr>
          <w:rFonts w:ascii="Calibri" w:eastAsia="Calibri" w:hAnsi="Calibri" w:cs="Calibri"/>
          <w:b/>
          <w:bCs/>
          <w:color w:val="EB3741"/>
          <w:lang w:val="fr-FR"/>
        </w:rPr>
        <w:t xml:space="preserve">         Secteur d'intégration minimale / activités intégrées </w:t>
      </w:r>
    </w:p>
    <w:p w14:paraId="4ED87464" w14:textId="120D731B" w:rsidR="00B44173" w:rsidRPr="007E21CD" w:rsidRDefault="00D27B8B" w:rsidP="00B44173">
      <w:pPr>
        <w:spacing w:after="0"/>
        <w:ind w:left="2160" w:hanging="1440"/>
        <w:rPr>
          <w:rFonts w:ascii="Calibri" w:eastAsia="Calibri" w:hAnsi="Calibri" w:cs="Calibri"/>
          <w:b/>
          <w:bCs/>
          <w:color w:val="EB3741"/>
          <w:lang w:val="fr-FR"/>
        </w:rPr>
      </w:pPr>
      <w:hyperlink w:anchor="Annex13" w:history="1">
        <w:r w:rsidR="00B44173" w:rsidRPr="007E21CD">
          <w:rPr>
            <w:rStyle w:val="Hyperlink"/>
            <w:rFonts w:ascii="Calibri" w:eastAsia="Calibri" w:hAnsi="Calibri" w:cs="Calibri"/>
            <w:b/>
            <w:bCs/>
            <w:color w:val="EB3741"/>
            <w:lang w:val="fr-FR"/>
          </w:rPr>
          <w:t>Annexe 13</w:t>
        </w:r>
      </w:hyperlink>
      <w:r w:rsidR="00B44173" w:rsidRPr="007E21CD">
        <w:rPr>
          <w:rFonts w:ascii="Calibri" w:eastAsia="Calibri" w:hAnsi="Calibri" w:cs="Calibri"/>
          <w:b/>
          <w:bCs/>
          <w:color w:val="EB3741"/>
          <w:lang w:val="fr-FR"/>
        </w:rPr>
        <w:t xml:space="preserve">         Rapport d'orientation pour des activités communes et complémentaires </w:t>
      </w:r>
    </w:p>
    <w:p w14:paraId="60F5F200" w14:textId="155BBFB3" w:rsidR="00B44173" w:rsidRPr="007E21CD" w:rsidRDefault="00D27B8B" w:rsidP="00B44173">
      <w:pPr>
        <w:spacing w:after="0"/>
        <w:ind w:left="2160" w:hanging="1440"/>
        <w:rPr>
          <w:rFonts w:ascii="Calibri" w:eastAsia="Calibri" w:hAnsi="Calibri" w:cs="Calibri"/>
          <w:b/>
          <w:bCs/>
          <w:color w:val="EB3741"/>
          <w:lang w:val="fr-FR"/>
        </w:rPr>
      </w:pPr>
      <w:hyperlink w:anchor="Annex14" w:history="1">
        <w:r w:rsidR="00B44173" w:rsidRPr="007E21CD">
          <w:rPr>
            <w:rStyle w:val="Hyperlink"/>
            <w:rFonts w:ascii="Calibri" w:eastAsia="Calibri" w:hAnsi="Calibri" w:cs="Calibri"/>
            <w:b/>
            <w:bCs/>
            <w:color w:val="EB3741"/>
            <w:lang w:val="fr-FR"/>
          </w:rPr>
          <w:t>Annexe 14</w:t>
        </w:r>
      </w:hyperlink>
      <w:r w:rsidR="00B44173" w:rsidRPr="007E21CD">
        <w:rPr>
          <w:rFonts w:ascii="Calibri" w:eastAsia="Calibri" w:hAnsi="Calibri" w:cs="Calibri"/>
          <w:b/>
          <w:bCs/>
          <w:color w:val="EB3741"/>
          <w:lang w:val="fr-FR"/>
        </w:rPr>
        <w:t xml:space="preserve">         Évaluer l'ampleur et la qu</w:t>
      </w:r>
      <w:r w:rsidR="001A608C" w:rsidRPr="007E21CD">
        <w:rPr>
          <w:rFonts w:ascii="Calibri" w:eastAsia="Calibri" w:hAnsi="Calibri" w:cs="Calibri"/>
          <w:b/>
          <w:bCs/>
          <w:color w:val="EB3741"/>
          <w:lang w:val="fr-FR"/>
        </w:rPr>
        <w:t xml:space="preserve">alité de la collaboration </w:t>
      </w:r>
      <w:r w:rsidR="007E21CD" w:rsidRPr="007E21CD">
        <w:rPr>
          <w:rFonts w:ascii="Calibri" w:eastAsia="Calibri" w:hAnsi="Calibri" w:cs="Calibri"/>
          <w:b/>
          <w:bCs/>
          <w:color w:val="EB3741"/>
          <w:lang w:val="fr-FR"/>
        </w:rPr>
        <w:t>PE</w:t>
      </w:r>
      <w:r w:rsidR="001A608C" w:rsidRPr="007E21CD">
        <w:rPr>
          <w:rFonts w:ascii="Calibri" w:eastAsia="Calibri" w:hAnsi="Calibri" w:cs="Calibri"/>
          <w:b/>
          <w:bCs/>
          <w:color w:val="EB3741"/>
          <w:lang w:val="fr-FR"/>
        </w:rPr>
        <w:t>-</w:t>
      </w:r>
      <w:r w:rsidR="007E21CD" w:rsidRPr="007E21CD">
        <w:rPr>
          <w:rFonts w:ascii="Calibri" w:eastAsia="Calibri" w:hAnsi="Calibri" w:cs="Calibri"/>
          <w:b/>
          <w:bCs/>
          <w:color w:val="EB3741"/>
          <w:lang w:val="fr-FR"/>
        </w:rPr>
        <w:t>ESU</w:t>
      </w:r>
      <w:r w:rsidR="00B44173" w:rsidRPr="007E21CD">
        <w:rPr>
          <w:rFonts w:ascii="Calibri" w:eastAsia="Calibri" w:hAnsi="Calibri" w:cs="Calibri"/>
          <w:b/>
          <w:bCs/>
          <w:color w:val="EB3741"/>
          <w:lang w:val="fr-FR"/>
        </w:rPr>
        <w:t xml:space="preserve"> </w:t>
      </w:r>
    </w:p>
    <w:p w14:paraId="19B54BAE" w14:textId="41150078" w:rsidR="008F39F2" w:rsidRPr="00C377E1" w:rsidRDefault="00D27B8B" w:rsidP="008D0D80">
      <w:pPr>
        <w:spacing w:after="0"/>
        <w:ind w:left="2160" w:hanging="1440"/>
        <w:rPr>
          <w:rFonts w:ascii="Calibri" w:eastAsia="Calibri" w:hAnsi="Calibri" w:cs="Calibri"/>
          <w:color w:val="EB3741"/>
          <w:lang w:val="fr-FR"/>
        </w:rPr>
      </w:pPr>
      <w:hyperlink w:anchor="Annex15" w:history="1">
        <w:r w:rsidR="00B44173" w:rsidRPr="007E21CD">
          <w:rPr>
            <w:rStyle w:val="Hyperlink"/>
            <w:rFonts w:ascii="Calibri" w:eastAsia="Calibri" w:hAnsi="Calibri" w:cs="Calibri"/>
            <w:b/>
            <w:bCs/>
            <w:color w:val="EB3741"/>
            <w:lang w:val="fr-FR"/>
          </w:rPr>
          <w:t>Annexe 15</w:t>
        </w:r>
        <w:r w:rsidR="00B44173" w:rsidRPr="007E21CD">
          <w:rPr>
            <w:rStyle w:val="Hyperlink"/>
            <w:rFonts w:ascii="Calibri" w:eastAsia="Calibri" w:hAnsi="Calibri" w:cs="Calibri"/>
            <w:b/>
            <w:bCs/>
            <w:color w:val="EB3741"/>
            <w:u w:val="none"/>
            <w:lang w:val="fr-FR"/>
          </w:rPr>
          <w:t xml:space="preserve">        </w:t>
        </w:r>
      </w:hyperlink>
      <w:r w:rsidR="00B44173" w:rsidRPr="007E21CD">
        <w:rPr>
          <w:rFonts w:ascii="Calibri" w:eastAsia="Calibri" w:hAnsi="Calibri" w:cs="Calibri"/>
          <w:b/>
          <w:bCs/>
          <w:color w:val="EB3741"/>
          <w:lang w:val="fr-FR"/>
        </w:rPr>
        <w:t xml:space="preserve"> Ressources </w:t>
      </w:r>
      <w:r w:rsidR="00B44173" w:rsidRPr="00C377E1">
        <w:rPr>
          <w:rFonts w:ascii="Calibri" w:eastAsia="Calibri" w:hAnsi="Calibri" w:cs="Calibri"/>
          <w:b/>
          <w:bCs/>
          <w:color w:val="EB3741"/>
          <w:lang w:val="fr-FR"/>
        </w:rPr>
        <w:t xml:space="preserve">de participation des enfants      </w:t>
      </w:r>
    </w:p>
    <w:p w14:paraId="1EE13FAA" w14:textId="3F00265C" w:rsidR="008F39F2" w:rsidRDefault="008F39F2" w:rsidP="00080CB7">
      <w:pPr>
        <w:jc w:val="both"/>
        <w:rPr>
          <w:color w:val="EB3741"/>
          <w:sz w:val="20"/>
          <w:szCs w:val="20"/>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7BE28"/>
        <w:tblLook w:val="04A0" w:firstRow="1" w:lastRow="0" w:firstColumn="1" w:lastColumn="0" w:noHBand="0" w:noVBand="1"/>
      </w:tblPr>
      <w:tblGrid>
        <w:gridCol w:w="10790"/>
      </w:tblGrid>
      <w:tr w:rsidR="00756E98" w:rsidRPr="003A2E61" w14:paraId="189081BD" w14:textId="77777777" w:rsidTr="00756E98">
        <w:tc>
          <w:tcPr>
            <w:tcW w:w="10790" w:type="dxa"/>
            <w:shd w:val="clear" w:color="auto" w:fill="EB3741"/>
            <w:hideMark/>
          </w:tcPr>
          <w:p w14:paraId="56BFD663" w14:textId="5178EE6B" w:rsidR="00756E98" w:rsidRDefault="00756E98" w:rsidP="002071B6">
            <w:pPr>
              <w:jc w:val="center"/>
              <w:rPr>
                <w:b/>
                <w:bCs/>
                <w:color w:val="FFFFFF" w:themeColor="background1"/>
                <w:lang w:val="fr-FR"/>
              </w:rPr>
            </w:pPr>
            <w:r>
              <w:rPr>
                <w:b/>
                <w:bCs/>
                <w:color w:val="FFFFFF" w:themeColor="background1"/>
                <w:lang w:val="fr-FR"/>
              </w:rPr>
              <w:t xml:space="preserve">Pour toute contradiction, referez-vous à la </w:t>
            </w:r>
            <w:hyperlink r:id="rId12" w:history="1">
              <w:r>
                <w:rPr>
                  <w:rStyle w:val="Hyperlink"/>
                  <w:b/>
                  <w:bCs/>
                  <w:lang w:val="fr-FR"/>
                </w:rPr>
                <w:t>version anglaise</w:t>
              </w:r>
            </w:hyperlink>
          </w:p>
        </w:tc>
      </w:tr>
    </w:tbl>
    <w:p w14:paraId="03CC7C0E" w14:textId="77777777" w:rsidR="00756E98" w:rsidRPr="00C377E1" w:rsidRDefault="00756E98" w:rsidP="00080CB7">
      <w:pPr>
        <w:jc w:val="both"/>
        <w:rPr>
          <w:color w:val="EB3741"/>
          <w:sz w:val="20"/>
          <w:szCs w:val="20"/>
          <w:lang w:val="fr-FR"/>
        </w:rPr>
      </w:pPr>
    </w:p>
    <w:p w14:paraId="55DEA112" w14:textId="01ED2040" w:rsidR="00080CB7" w:rsidRDefault="00080CB7" w:rsidP="00080CB7">
      <w:pPr>
        <w:rPr>
          <w:rFonts w:ascii="Calibri" w:eastAsia="Calibri" w:hAnsi="Calibri" w:cs="Calibri"/>
          <w:b/>
          <w:bCs/>
          <w:color w:val="EB3741"/>
          <w:lang w:val="fr-FR"/>
        </w:rPr>
      </w:pPr>
      <w:bookmarkStart w:id="0" w:name="Annex11"/>
      <w:bookmarkStart w:id="1" w:name="_Hlk43105774"/>
      <w:r w:rsidRPr="006C7239">
        <w:rPr>
          <w:rFonts w:ascii="Calibri" w:eastAsia="Calibri" w:hAnsi="Calibri" w:cs="Calibri"/>
          <w:b/>
          <w:bCs/>
          <w:color w:val="EB3741"/>
          <w:lang w:val="fr-FR"/>
        </w:rPr>
        <w:t>Annex</w:t>
      </w:r>
      <w:r w:rsidR="006C7239" w:rsidRPr="006C7239">
        <w:rPr>
          <w:rFonts w:ascii="Calibri" w:eastAsia="Calibri" w:hAnsi="Calibri" w:cs="Calibri"/>
          <w:b/>
          <w:bCs/>
          <w:color w:val="EB3741"/>
          <w:lang w:val="fr-FR"/>
        </w:rPr>
        <w:t>e</w:t>
      </w:r>
      <w:r w:rsidRPr="006C7239">
        <w:rPr>
          <w:rFonts w:ascii="Calibri" w:eastAsia="Calibri" w:hAnsi="Calibri" w:cs="Calibri"/>
          <w:b/>
          <w:bCs/>
          <w:color w:val="EB3741"/>
          <w:lang w:val="fr-FR"/>
        </w:rPr>
        <w:t xml:space="preserve"> 1</w:t>
      </w:r>
      <w:r w:rsidR="00BE2A9E" w:rsidRPr="006C7239">
        <w:rPr>
          <w:rFonts w:ascii="Calibri" w:eastAsia="Calibri" w:hAnsi="Calibri" w:cs="Calibri"/>
          <w:b/>
          <w:bCs/>
          <w:color w:val="EB3741"/>
          <w:lang w:val="fr-FR"/>
        </w:rPr>
        <w:t>1</w:t>
      </w:r>
      <w:bookmarkEnd w:id="0"/>
      <w:r w:rsidR="006C7239" w:rsidRPr="006C7239">
        <w:rPr>
          <w:rFonts w:ascii="Calibri" w:eastAsia="Calibri" w:hAnsi="Calibri" w:cs="Calibri"/>
          <w:b/>
          <w:bCs/>
          <w:color w:val="EB3741"/>
          <w:lang w:val="fr-FR"/>
        </w:rPr>
        <w:t xml:space="preserve"> </w:t>
      </w:r>
      <w:r w:rsidRPr="006C7239">
        <w:rPr>
          <w:rFonts w:ascii="Calibri" w:eastAsia="Calibri" w:hAnsi="Calibri" w:cs="Calibri"/>
          <w:b/>
          <w:bCs/>
          <w:color w:val="EB3741"/>
          <w:lang w:val="fr-FR"/>
        </w:rPr>
        <w:t xml:space="preserve">: </w:t>
      </w:r>
      <w:r w:rsidR="006C7239" w:rsidRPr="006C7239">
        <w:rPr>
          <w:rFonts w:ascii="Calibri" w:eastAsia="Calibri" w:hAnsi="Calibri" w:cs="Calibri"/>
          <w:b/>
          <w:bCs/>
          <w:color w:val="EB3741"/>
          <w:lang w:val="fr-FR"/>
        </w:rPr>
        <w:t xml:space="preserve">Exemple de différenciation des activités dans chaque secteur, et des conseils sur la prestation d'activités complémentaires et communes   </w:t>
      </w:r>
    </w:p>
    <w:p w14:paraId="00FAEA94" w14:textId="2A8EC764" w:rsidR="009E5D5A" w:rsidRPr="009E5D5A" w:rsidRDefault="009E5D5A" w:rsidP="00756E98">
      <w:pPr>
        <w:spacing w:after="0" w:line="240" w:lineRule="auto"/>
        <w:rPr>
          <w:rFonts w:ascii="Calibri" w:eastAsia="Calibri" w:hAnsi="Calibri" w:cs="Calibri"/>
          <w:bCs/>
          <w:lang w:val="fr-FR"/>
        </w:rPr>
      </w:pPr>
      <w:r w:rsidRPr="009E5D5A">
        <w:rPr>
          <w:rFonts w:ascii="Calibri" w:eastAsia="Calibri" w:hAnsi="Calibri" w:cs="Calibri"/>
          <w:bCs/>
          <w:lang w:val="fr-FR"/>
        </w:rPr>
        <w:t xml:space="preserve">N.B. : Cette orientation porte sur la collaboration pour la coordination des activités. Pour des conseils techniques sur la collaboration </w:t>
      </w:r>
      <w:r w:rsidR="007E21CD">
        <w:rPr>
          <w:rFonts w:ascii="Calibri" w:eastAsia="Calibri" w:hAnsi="Calibri" w:cs="Calibri"/>
          <w:bCs/>
          <w:lang w:val="fr-FR"/>
        </w:rPr>
        <w:t>PE</w:t>
      </w:r>
      <w:r w:rsidRPr="009E5D5A">
        <w:rPr>
          <w:rFonts w:ascii="Calibri" w:eastAsia="Calibri" w:hAnsi="Calibri" w:cs="Calibri"/>
          <w:bCs/>
          <w:lang w:val="fr-FR"/>
        </w:rPr>
        <w:t>-</w:t>
      </w:r>
      <w:r w:rsidR="007E21CD">
        <w:rPr>
          <w:rFonts w:ascii="Calibri" w:eastAsia="Calibri" w:hAnsi="Calibri" w:cs="Calibri"/>
          <w:bCs/>
          <w:lang w:val="fr-FR"/>
        </w:rPr>
        <w:t>ESU</w:t>
      </w:r>
      <w:r w:rsidRPr="009E5D5A">
        <w:rPr>
          <w:rFonts w:ascii="Calibri" w:eastAsia="Calibri" w:hAnsi="Calibri" w:cs="Calibri"/>
          <w:bCs/>
          <w:lang w:val="fr-FR"/>
        </w:rPr>
        <w:t xml:space="preserve">, l'INEE et l'Alliance </w:t>
      </w:r>
      <w:r w:rsidR="007E21CD">
        <w:rPr>
          <w:rFonts w:ascii="Calibri" w:eastAsia="Calibri" w:hAnsi="Calibri" w:cs="Calibri"/>
          <w:bCs/>
          <w:lang w:val="fr-FR"/>
        </w:rPr>
        <w:t>PE</w:t>
      </w:r>
      <w:r w:rsidRPr="009E5D5A">
        <w:rPr>
          <w:rFonts w:ascii="Calibri" w:eastAsia="Calibri" w:hAnsi="Calibri" w:cs="Calibri"/>
          <w:bCs/>
          <w:lang w:val="fr-FR"/>
        </w:rPr>
        <w:t xml:space="preserve"> élaborent un </w:t>
      </w:r>
      <w:r w:rsidRPr="009E5D5A">
        <w:rPr>
          <w:rFonts w:ascii="Calibri" w:eastAsia="Calibri" w:hAnsi="Calibri" w:cs="Calibri"/>
          <w:bCs/>
          <w:i/>
          <w:lang w:val="fr-FR"/>
        </w:rPr>
        <w:t>Cadre de collaboration</w:t>
      </w:r>
      <w:r w:rsidRPr="009E5D5A">
        <w:rPr>
          <w:rFonts w:ascii="Calibri" w:eastAsia="Calibri" w:hAnsi="Calibri" w:cs="Calibri"/>
          <w:bCs/>
          <w:lang w:val="fr-FR"/>
        </w:rPr>
        <w:t xml:space="preserve"> </w:t>
      </w:r>
      <w:r w:rsidR="007E21CD">
        <w:rPr>
          <w:rFonts w:ascii="Calibri" w:eastAsia="Calibri" w:hAnsi="Calibri" w:cs="Calibri"/>
          <w:bCs/>
          <w:i/>
          <w:lang w:val="fr-FR"/>
        </w:rPr>
        <w:t>PE</w:t>
      </w:r>
      <w:r w:rsidRPr="001A608C">
        <w:rPr>
          <w:rFonts w:ascii="Calibri" w:eastAsia="Calibri" w:hAnsi="Calibri" w:cs="Calibri"/>
          <w:bCs/>
          <w:i/>
          <w:lang w:val="fr-FR"/>
        </w:rPr>
        <w:t>HA-</w:t>
      </w:r>
      <w:r w:rsidR="007E21CD">
        <w:rPr>
          <w:rFonts w:ascii="Calibri" w:eastAsia="Calibri" w:hAnsi="Calibri" w:cs="Calibri"/>
          <w:bCs/>
          <w:i/>
          <w:lang w:val="fr-FR"/>
        </w:rPr>
        <w:t>ESU</w:t>
      </w:r>
      <w:r w:rsidRPr="009E5D5A">
        <w:rPr>
          <w:rFonts w:ascii="Calibri" w:eastAsia="Calibri" w:hAnsi="Calibri" w:cs="Calibri"/>
          <w:bCs/>
          <w:lang w:val="fr-FR"/>
        </w:rPr>
        <w:t>, à venir en décembre 2020.</w:t>
      </w:r>
    </w:p>
    <w:p w14:paraId="3A5A0E71" w14:textId="77777777" w:rsidR="00756E98" w:rsidRDefault="00756E98" w:rsidP="00756E98">
      <w:pPr>
        <w:spacing w:after="0" w:line="240" w:lineRule="auto"/>
        <w:rPr>
          <w:lang w:val="fr-FR"/>
        </w:rPr>
      </w:pPr>
    </w:p>
    <w:p w14:paraId="3C05DA76" w14:textId="55BC7825" w:rsidR="006C7239" w:rsidRPr="006C7239" w:rsidRDefault="006C7239" w:rsidP="00756E98">
      <w:pPr>
        <w:spacing w:after="0" w:line="240" w:lineRule="auto"/>
        <w:rPr>
          <w:lang w:val="fr-FR"/>
        </w:rPr>
      </w:pPr>
      <w:r w:rsidRPr="006C7239">
        <w:rPr>
          <w:lang w:val="fr-FR"/>
        </w:rPr>
        <w:t xml:space="preserve">Les exemples ci-dessous sont basés sur : </w:t>
      </w:r>
    </w:p>
    <w:p w14:paraId="479AC592" w14:textId="2953D36C" w:rsidR="006C7239" w:rsidRPr="006C7239" w:rsidRDefault="006C7239" w:rsidP="00756E98">
      <w:pPr>
        <w:spacing w:after="0" w:line="240" w:lineRule="auto"/>
        <w:ind w:left="851" w:hanging="851"/>
        <w:rPr>
          <w:color w:val="0070C0"/>
          <w:lang w:val="fr-FR"/>
        </w:rPr>
      </w:pPr>
      <w:r>
        <w:rPr>
          <w:lang w:val="fr-FR"/>
        </w:rPr>
        <w:t xml:space="preserve">        </w:t>
      </w:r>
      <w:r w:rsidRPr="006C7239">
        <w:rPr>
          <w:lang w:val="fr-FR"/>
        </w:rPr>
        <w:t>1.</w:t>
      </w:r>
      <w:r>
        <w:rPr>
          <w:lang w:val="fr-FR"/>
        </w:rPr>
        <w:t xml:space="preserve">    </w:t>
      </w:r>
      <w:r w:rsidRPr="006C7239">
        <w:rPr>
          <w:lang w:val="fr-FR"/>
        </w:rPr>
        <w:t xml:space="preserve"> Concept de protection et d'intégration de l'enfant en Irak Note sur la page 6-7 du</w:t>
      </w:r>
      <w:r w:rsidRPr="006C7239">
        <w:rPr>
          <w:color w:val="EB3741"/>
          <w:lang w:val="fr-FR"/>
        </w:rPr>
        <w:t xml:space="preserve"> </w:t>
      </w:r>
      <w:hyperlink r:id="rId13" w:history="1">
        <w:r w:rsidRPr="007E21CD">
          <w:rPr>
            <w:rStyle w:val="Hyperlink"/>
            <w:lang w:val="fr-FR"/>
          </w:rPr>
          <w:t xml:space="preserve">paquet de service minimum </w:t>
        </w:r>
        <w:r w:rsidR="007E21CD" w:rsidRPr="007E21CD">
          <w:rPr>
            <w:rStyle w:val="Hyperlink"/>
            <w:lang w:val="fr-FR"/>
          </w:rPr>
          <w:t>PE</w:t>
        </w:r>
        <w:r w:rsidRPr="007E21CD">
          <w:rPr>
            <w:rStyle w:val="Hyperlink"/>
            <w:lang w:val="fr-FR"/>
          </w:rPr>
          <w:t xml:space="preserve"> pour les zones de Urbaines Reprises</w:t>
        </w:r>
      </w:hyperlink>
    </w:p>
    <w:p w14:paraId="58D61464" w14:textId="4EEC694F" w:rsidR="00080CB7" w:rsidRPr="00C377E1" w:rsidRDefault="006C7239" w:rsidP="00756E98">
      <w:pPr>
        <w:spacing w:after="0" w:line="240" w:lineRule="auto"/>
        <w:rPr>
          <w:shd w:val="clear" w:color="auto" w:fill="FFFF00"/>
          <w:lang w:val="fr-FR"/>
        </w:rPr>
      </w:pPr>
      <w:r>
        <w:rPr>
          <w:lang w:val="fr-FR"/>
        </w:rPr>
        <w:t xml:space="preserve">        </w:t>
      </w:r>
      <w:r w:rsidRPr="006C7239">
        <w:rPr>
          <w:lang w:val="fr-FR"/>
        </w:rPr>
        <w:t>2.</w:t>
      </w:r>
      <w:r>
        <w:rPr>
          <w:lang w:val="fr-FR"/>
        </w:rPr>
        <w:t xml:space="preserve">    </w:t>
      </w:r>
      <w:r w:rsidRPr="006C7239">
        <w:rPr>
          <w:lang w:val="fr-FR"/>
        </w:rPr>
        <w:t xml:space="preserve"> Les conseils de Cox </w:t>
      </w:r>
      <w:proofErr w:type="spellStart"/>
      <w:r w:rsidRPr="006C7239">
        <w:rPr>
          <w:lang w:val="fr-FR"/>
        </w:rPr>
        <w:t>Bazaar</w:t>
      </w:r>
      <w:proofErr w:type="spellEnd"/>
      <w:r w:rsidRPr="006C7239">
        <w:rPr>
          <w:lang w:val="fr-FR"/>
        </w:rPr>
        <w:t xml:space="preserve"> sur les </w:t>
      </w:r>
      <w:hyperlink r:id="rId14" w:history="1">
        <w:r w:rsidRPr="007E21CD">
          <w:rPr>
            <w:rStyle w:val="Hyperlink"/>
            <w:lang w:val="fr-FR"/>
          </w:rPr>
          <w:t>Centres Polyvalents pour Enfants et Adolescents</w:t>
        </w:r>
        <w:bookmarkEnd w:id="1"/>
      </w:hyperlink>
      <w:r w:rsidR="00080CB7" w:rsidRPr="00C377E1">
        <w:rPr>
          <w:shd w:val="clear" w:color="auto" w:fill="FFFF00"/>
          <w:lang w:val="fr-FR"/>
        </w:rPr>
        <w:t xml:space="preserve"> </w:t>
      </w:r>
    </w:p>
    <w:p w14:paraId="1FA9F22D" w14:textId="77777777" w:rsidR="00756E98" w:rsidRDefault="00756E98" w:rsidP="00080CB7">
      <w:pPr>
        <w:spacing w:after="0"/>
        <w:jc w:val="both"/>
        <w:rPr>
          <w:rFonts w:ascii="Calibri" w:eastAsia="Calibri" w:hAnsi="Calibri" w:cs="Calibri"/>
          <w:u w:val="single"/>
          <w:lang w:val="fr-FR"/>
        </w:rPr>
      </w:pPr>
    </w:p>
    <w:p w14:paraId="07D3A923" w14:textId="5ED800F7" w:rsidR="00080CB7" w:rsidRPr="009E5D5A" w:rsidRDefault="009E5D5A" w:rsidP="00080CB7">
      <w:pPr>
        <w:spacing w:after="0"/>
        <w:jc w:val="both"/>
        <w:rPr>
          <w:u w:val="single"/>
          <w:lang w:val="fr-FR"/>
        </w:rPr>
      </w:pPr>
      <w:r w:rsidRPr="009E5D5A">
        <w:rPr>
          <w:rFonts w:ascii="Calibri" w:eastAsia="Calibri" w:hAnsi="Calibri" w:cs="Calibri"/>
          <w:u w:val="single"/>
          <w:lang w:val="fr-FR"/>
        </w:rPr>
        <w:t>Les principaux éléments de ces orientations sont les suivants :</w:t>
      </w:r>
    </w:p>
    <w:p w14:paraId="22D10D3F" w14:textId="00BEE5AC" w:rsidR="009E5D5A" w:rsidRPr="009E5D5A" w:rsidRDefault="009E5D5A" w:rsidP="009E5D5A">
      <w:pPr>
        <w:pStyle w:val="ListParagraph"/>
        <w:numPr>
          <w:ilvl w:val="0"/>
          <w:numId w:val="25"/>
        </w:numPr>
        <w:spacing w:line="256" w:lineRule="auto"/>
        <w:jc w:val="both"/>
        <w:rPr>
          <w:rFonts w:ascii="Calibri" w:eastAsia="Calibri" w:hAnsi="Calibri" w:cs="Calibri"/>
          <w:i/>
          <w:iCs/>
          <w:lang w:val="fr-FR"/>
        </w:rPr>
      </w:pPr>
      <w:r w:rsidRPr="009E5D5A">
        <w:rPr>
          <w:rFonts w:ascii="Calibri" w:eastAsia="Calibri" w:hAnsi="Calibri" w:cs="Calibri"/>
          <w:i/>
          <w:iCs/>
          <w:lang w:val="fr-FR"/>
        </w:rPr>
        <w:t xml:space="preserve"> Vision partagée : Quel est l'objectif commun ? Quel est l'avantage d'une approche intégrée ? </w:t>
      </w:r>
    </w:p>
    <w:p w14:paraId="48F5FDA8" w14:textId="1CE38A9C" w:rsidR="009E5D5A" w:rsidRPr="009E5D5A" w:rsidRDefault="009E5D5A" w:rsidP="009E5D5A">
      <w:pPr>
        <w:pStyle w:val="ListParagraph"/>
        <w:numPr>
          <w:ilvl w:val="0"/>
          <w:numId w:val="25"/>
        </w:numPr>
        <w:spacing w:line="256" w:lineRule="auto"/>
        <w:jc w:val="both"/>
        <w:rPr>
          <w:rFonts w:ascii="Calibri" w:eastAsia="Calibri" w:hAnsi="Calibri" w:cs="Calibri"/>
          <w:i/>
          <w:iCs/>
          <w:lang w:val="fr-FR"/>
        </w:rPr>
      </w:pPr>
      <w:r w:rsidRPr="009E5D5A">
        <w:rPr>
          <w:rFonts w:ascii="Calibri" w:eastAsia="Calibri" w:hAnsi="Calibri" w:cs="Calibri"/>
          <w:i/>
          <w:iCs/>
          <w:lang w:val="fr-FR"/>
        </w:rPr>
        <w:t xml:space="preserve"> Approche : </w:t>
      </w:r>
      <w:r>
        <w:rPr>
          <w:rFonts w:ascii="Calibri" w:eastAsia="Calibri" w:hAnsi="Calibri" w:cs="Calibri"/>
          <w:i/>
          <w:iCs/>
          <w:lang w:val="fr-FR"/>
        </w:rPr>
        <w:t>de l'espace polyvalente</w:t>
      </w:r>
      <w:r w:rsidRPr="009E5D5A">
        <w:rPr>
          <w:rFonts w:ascii="Calibri" w:eastAsia="Calibri" w:hAnsi="Calibri" w:cs="Calibri"/>
          <w:i/>
          <w:iCs/>
          <w:lang w:val="fr-FR"/>
        </w:rPr>
        <w:t xml:space="preserve"> et du paquet intégré de services </w:t>
      </w:r>
    </w:p>
    <w:p w14:paraId="2010F2B8" w14:textId="5C57B287" w:rsidR="009E5D5A" w:rsidRPr="009E5D5A" w:rsidRDefault="009E5D5A" w:rsidP="009E5D5A">
      <w:pPr>
        <w:pStyle w:val="ListParagraph"/>
        <w:numPr>
          <w:ilvl w:val="0"/>
          <w:numId w:val="25"/>
        </w:numPr>
        <w:spacing w:line="256" w:lineRule="auto"/>
        <w:jc w:val="both"/>
        <w:rPr>
          <w:rFonts w:ascii="Calibri" w:eastAsia="Calibri" w:hAnsi="Calibri" w:cs="Calibri"/>
          <w:i/>
          <w:iCs/>
          <w:lang w:val="fr-FR"/>
        </w:rPr>
      </w:pPr>
      <w:r w:rsidRPr="009E5D5A">
        <w:rPr>
          <w:rFonts w:ascii="Calibri" w:eastAsia="Calibri" w:hAnsi="Calibri" w:cs="Calibri"/>
          <w:i/>
          <w:iCs/>
          <w:lang w:val="fr-FR"/>
        </w:rPr>
        <w:t xml:space="preserve"> Responsabilités de chaque secteur : au sein des interventions d'éducation, les services de </w:t>
      </w:r>
      <w:r w:rsidR="007E21CD">
        <w:rPr>
          <w:rFonts w:ascii="Calibri" w:eastAsia="Calibri" w:hAnsi="Calibri" w:cs="Calibri"/>
          <w:i/>
          <w:iCs/>
          <w:lang w:val="fr-FR"/>
        </w:rPr>
        <w:t>PE</w:t>
      </w:r>
      <w:r w:rsidRPr="009E5D5A">
        <w:rPr>
          <w:rFonts w:ascii="Calibri" w:eastAsia="Calibri" w:hAnsi="Calibri" w:cs="Calibri"/>
          <w:i/>
          <w:iCs/>
          <w:lang w:val="fr-FR"/>
        </w:rPr>
        <w:t xml:space="preserve"> fourniront..., dans les interventions </w:t>
      </w:r>
      <w:r w:rsidR="007E21CD">
        <w:rPr>
          <w:rFonts w:ascii="Calibri" w:eastAsia="Calibri" w:hAnsi="Calibri" w:cs="Calibri"/>
          <w:i/>
          <w:iCs/>
          <w:lang w:val="fr-FR"/>
        </w:rPr>
        <w:t>PE</w:t>
      </w:r>
      <w:r w:rsidRPr="009E5D5A">
        <w:rPr>
          <w:rFonts w:ascii="Calibri" w:eastAsia="Calibri" w:hAnsi="Calibri" w:cs="Calibri"/>
          <w:i/>
          <w:iCs/>
          <w:lang w:val="fr-FR"/>
        </w:rPr>
        <w:t xml:space="preserve">, les fournisseurs de services d'éducation fourniront... (y compris la formation, les activités, la surveillance, etc.) </w:t>
      </w:r>
    </w:p>
    <w:p w14:paraId="453C4AC5" w14:textId="11C17FC0" w:rsidR="009E5D5A" w:rsidRPr="009E5D5A" w:rsidRDefault="009E5D5A" w:rsidP="009E5D5A">
      <w:pPr>
        <w:pStyle w:val="ListParagraph"/>
        <w:numPr>
          <w:ilvl w:val="0"/>
          <w:numId w:val="25"/>
        </w:numPr>
        <w:spacing w:line="256" w:lineRule="auto"/>
        <w:jc w:val="both"/>
        <w:rPr>
          <w:rFonts w:ascii="Calibri" w:eastAsia="Calibri" w:hAnsi="Calibri" w:cs="Calibri"/>
          <w:i/>
          <w:iCs/>
          <w:lang w:val="fr-FR"/>
        </w:rPr>
      </w:pPr>
      <w:r w:rsidRPr="009E5D5A">
        <w:rPr>
          <w:rFonts w:ascii="Calibri" w:eastAsia="Calibri" w:hAnsi="Calibri" w:cs="Calibri"/>
          <w:i/>
          <w:iCs/>
          <w:lang w:val="fr-FR"/>
        </w:rPr>
        <w:t xml:space="preserve"> Considérations opérationnelles : p. ex. accès, durée et considérations de coûts </w:t>
      </w:r>
    </w:p>
    <w:p w14:paraId="519599A9" w14:textId="29C8FCB3" w:rsidR="00080CB7" w:rsidRPr="00C377E1" w:rsidRDefault="009E5D5A" w:rsidP="00080CB7">
      <w:pPr>
        <w:pStyle w:val="ListParagraph"/>
        <w:numPr>
          <w:ilvl w:val="0"/>
          <w:numId w:val="25"/>
        </w:numPr>
        <w:spacing w:line="256" w:lineRule="auto"/>
        <w:jc w:val="both"/>
        <w:rPr>
          <w:rFonts w:eastAsiaTheme="minorEastAsia"/>
          <w:i/>
          <w:iCs/>
          <w:lang w:val="fr-FR"/>
        </w:rPr>
      </w:pPr>
      <w:r w:rsidRPr="009E5D5A">
        <w:rPr>
          <w:rFonts w:ascii="Calibri" w:eastAsia="Calibri" w:hAnsi="Calibri" w:cs="Calibri"/>
          <w:i/>
          <w:iCs/>
          <w:lang w:val="fr-FR"/>
        </w:rPr>
        <w:t xml:space="preserve"> Manières de travail, par exemple sur la base des scénarios </w:t>
      </w:r>
      <w:r w:rsidR="00880A76" w:rsidRPr="009E5D5A">
        <w:rPr>
          <w:rFonts w:ascii="Calibri" w:eastAsia="Calibri" w:hAnsi="Calibri" w:cs="Calibri"/>
          <w:i/>
          <w:iCs/>
          <w:lang w:val="fr-FR"/>
        </w:rPr>
        <w:t>suivants :</w:t>
      </w:r>
      <w:r w:rsidRPr="009E5D5A">
        <w:rPr>
          <w:rFonts w:ascii="Calibri" w:eastAsia="Calibri" w:hAnsi="Calibri" w:cs="Calibri"/>
          <w:i/>
          <w:iCs/>
          <w:lang w:val="fr-FR"/>
        </w:rPr>
        <w:t xml:space="preserve"> </w:t>
      </w:r>
    </w:p>
    <w:tbl>
      <w:tblPr>
        <w:tblStyle w:val="TableGrid"/>
        <w:tblW w:w="10773" w:type="dxa"/>
        <w:tblInd w:w="-15" w:type="dxa"/>
        <w:tblBorders>
          <w:top w:val="single" w:sz="12" w:space="0" w:color="EB3741"/>
          <w:left w:val="single" w:sz="12" w:space="0" w:color="EB3741"/>
          <w:bottom w:val="single" w:sz="12" w:space="0" w:color="EB3741"/>
          <w:right w:val="single" w:sz="12" w:space="0" w:color="EB3741"/>
          <w:insideH w:val="single" w:sz="12" w:space="0" w:color="EB3741"/>
          <w:insideV w:val="single" w:sz="12" w:space="0" w:color="EB3741"/>
        </w:tblBorders>
        <w:tblLayout w:type="fixed"/>
        <w:tblLook w:val="04A0" w:firstRow="1" w:lastRow="0" w:firstColumn="1" w:lastColumn="0" w:noHBand="0" w:noVBand="1"/>
      </w:tblPr>
      <w:tblGrid>
        <w:gridCol w:w="1418"/>
        <w:gridCol w:w="1701"/>
        <w:gridCol w:w="7654"/>
      </w:tblGrid>
      <w:tr w:rsidR="00080CB7" w:rsidRPr="00890C2E" w14:paraId="025B3276" w14:textId="77777777" w:rsidTr="003D72FC">
        <w:tc>
          <w:tcPr>
            <w:tcW w:w="1418" w:type="dxa"/>
            <w:hideMark/>
          </w:tcPr>
          <w:p w14:paraId="7334D856" w14:textId="77777777" w:rsidR="00080CB7" w:rsidRPr="00FA2835" w:rsidRDefault="00080CB7" w:rsidP="00985B6B">
            <w:pPr>
              <w:rPr>
                <w:b/>
                <w:bCs/>
                <w:color w:val="EB3741"/>
                <w:lang w:val="en-GB"/>
              </w:rPr>
            </w:pPr>
            <w:r w:rsidRPr="00FA2835">
              <w:rPr>
                <w:rFonts w:ascii="Calibri" w:eastAsia="Calibri" w:hAnsi="Calibri" w:cs="Calibri"/>
                <w:b/>
                <w:bCs/>
                <w:color w:val="EB3741"/>
                <w:sz w:val="20"/>
                <w:szCs w:val="20"/>
                <w:lang w:val="en-GB"/>
              </w:rPr>
              <w:t>Scenario</w:t>
            </w:r>
          </w:p>
        </w:tc>
        <w:tc>
          <w:tcPr>
            <w:tcW w:w="1701" w:type="dxa"/>
            <w:hideMark/>
          </w:tcPr>
          <w:p w14:paraId="4D5C4351" w14:textId="5A5287EF" w:rsidR="00080CB7" w:rsidRPr="00FA2835" w:rsidRDefault="00CA683F" w:rsidP="00985B6B">
            <w:pPr>
              <w:rPr>
                <w:b/>
                <w:bCs/>
                <w:color w:val="EB3741"/>
                <w:lang w:val="en-GB"/>
              </w:rPr>
            </w:pPr>
            <w:proofErr w:type="spellStart"/>
            <w:r>
              <w:rPr>
                <w:rFonts w:ascii="Calibri" w:eastAsia="Calibri" w:hAnsi="Calibri" w:cs="Calibri"/>
                <w:b/>
                <w:bCs/>
                <w:color w:val="EB3741"/>
                <w:sz w:val="20"/>
                <w:szCs w:val="20"/>
                <w:lang w:val="en-GB"/>
              </w:rPr>
              <w:t>Exe</w:t>
            </w:r>
            <w:r w:rsidR="00080CB7" w:rsidRPr="00FA2835">
              <w:rPr>
                <w:rFonts w:ascii="Calibri" w:eastAsia="Calibri" w:hAnsi="Calibri" w:cs="Calibri"/>
                <w:b/>
                <w:bCs/>
                <w:color w:val="EB3741"/>
                <w:sz w:val="20"/>
                <w:szCs w:val="20"/>
                <w:lang w:val="en-GB"/>
              </w:rPr>
              <w:t>mple</w:t>
            </w:r>
            <w:proofErr w:type="spellEnd"/>
            <w:r w:rsidR="00080CB7" w:rsidRPr="00FA2835">
              <w:rPr>
                <w:rFonts w:ascii="Calibri" w:eastAsia="Calibri" w:hAnsi="Calibri" w:cs="Calibri"/>
                <w:b/>
                <w:bCs/>
                <w:color w:val="EB3741"/>
                <w:sz w:val="20"/>
                <w:szCs w:val="20"/>
                <w:lang w:val="en-GB"/>
              </w:rPr>
              <w:t xml:space="preserve"> </w:t>
            </w:r>
            <w:proofErr w:type="spellStart"/>
            <w:r>
              <w:rPr>
                <w:rFonts w:ascii="Calibri" w:eastAsia="Calibri" w:hAnsi="Calibri" w:cs="Calibri"/>
                <w:b/>
                <w:bCs/>
                <w:color w:val="EB3741"/>
                <w:sz w:val="20"/>
                <w:szCs w:val="20"/>
                <w:lang w:val="en-GB"/>
              </w:rPr>
              <w:t>d’</w:t>
            </w:r>
            <w:r w:rsidR="00080CB7" w:rsidRPr="00FA2835">
              <w:rPr>
                <w:rFonts w:ascii="Calibri" w:eastAsia="Calibri" w:hAnsi="Calibri" w:cs="Calibri"/>
                <w:b/>
                <w:bCs/>
                <w:color w:val="EB3741"/>
                <w:sz w:val="20"/>
                <w:szCs w:val="20"/>
                <w:lang w:val="en-GB"/>
              </w:rPr>
              <w:t>acti</w:t>
            </w:r>
            <w:r>
              <w:rPr>
                <w:rFonts w:ascii="Calibri" w:eastAsia="Calibri" w:hAnsi="Calibri" w:cs="Calibri"/>
                <w:b/>
                <w:bCs/>
                <w:color w:val="EB3741"/>
                <w:sz w:val="20"/>
                <w:szCs w:val="20"/>
                <w:lang w:val="en-GB"/>
              </w:rPr>
              <w:t>vité</w:t>
            </w:r>
            <w:proofErr w:type="spellEnd"/>
          </w:p>
        </w:tc>
        <w:tc>
          <w:tcPr>
            <w:tcW w:w="7654" w:type="dxa"/>
            <w:hideMark/>
          </w:tcPr>
          <w:p w14:paraId="678F5FCD" w14:textId="77777777" w:rsidR="00080CB7" w:rsidRPr="00FA2835" w:rsidRDefault="00080CB7" w:rsidP="00985B6B">
            <w:pPr>
              <w:rPr>
                <w:b/>
                <w:bCs/>
                <w:color w:val="EB3741"/>
                <w:lang w:val="en-GB"/>
              </w:rPr>
            </w:pPr>
            <w:r w:rsidRPr="00FA2835">
              <w:rPr>
                <w:rFonts w:ascii="Calibri" w:eastAsia="Calibri" w:hAnsi="Calibri" w:cs="Calibri"/>
                <w:b/>
                <w:bCs/>
                <w:color w:val="EB3741"/>
                <w:sz w:val="20"/>
                <w:szCs w:val="20"/>
                <w:lang w:val="en-GB"/>
              </w:rPr>
              <w:t>Guidance</w:t>
            </w:r>
          </w:p>
        </w:tc>
      </w:tr>
      <w:tr w:rsidR="00080CB7" w:rsidRPr="00756E98" w14:paraId="2A9DCDFC" w14:textId="77777777" w:rsidTr="003D72FC">
        <w:tc>
          <w:tcPr>
            <w:tcW w:w="1418" w:type="dxa"/>
            <w:hideMark/>
          </w:tcPr>
          <w:p w14:paraId="7FAB9D6C" w14:textId="6E1EE25F" w:rsidR="00080CB7" w:rsidRPr="00CA683F" w:rsidRDefault="00CA683F" w:rsidP="00985B6B">
            <w:pPr>
              <w:rPr>
                <w:b/>
                <w:bCs/>
                <w:lang w:val="fr-FR"/>
              </w:rPr>
            </w:pPr>
            <w:r w:rsidRPr="00CA683F">
              <w:rPr>
                <w:rFonts w:ascii="Calibri" w:eastAsia="Calibri" w:hAnsi="Calibri" w:cs="Calibri"/>
                <w:b/>
                <w:bCs/>
                <w:sz w:val="20"/>
                <w:szCs w:val="20"/>
                <w:lang w:val="fr-FR"/>
              </w:rPr>
              <w:t>Une agence unique offrant des services</w:t>
            </w:r>
            <w:r>
              <w:rPr>
                <w:rFonts w:ascii="Calibri" w:eastAsia="Calibri" w:hAnsi="Calibri" w:cs="Calibri"/>
                <w:b/>
                <w:bCs/>
                <w:sz w:val="20"/>
                <w:szCs w:val="20"/>
                <w:lang w:val="fr-FR"/>
              </w:rPr>
              <w:t xml:space="preserve"> </w:t>
            </w:r>
            <w:proofErr w:type="gramStart"/>
            <w:r>
              <w:rPr>
                <w:rFonts w:ascii="Calibri" w:eastAsia="Calibri" w:hAnsi="Calibri" w:cs="Calibri"/>
                <w:b/>
                <w:bCs/>
                <w:sz w:val="20"/>
                <w:szCs w:val="20"/>
                <w:lang w:val="fr-FR"/>
              </w:rPr>
              <w:t xml:space="preserve">intégrés </w:t>
            </w:r>
            <w:r w:rsidR="00080CB7" w:rsidRPr="00CA683F">
              <w:rPr>
                <w:rFonts w:ascii="Calibri" w:eastAsia="Calibri" w:hAnsi="Calibri" w:cs="Calibri"/>
                <w:b/>
                <w:bCs/>
                <w:sz w:val="20"/>
                <w:szCs w:val="20"/>
                <w:lang w:val="fr-FR"/>
              </w:rPr>
              <w:t xml:space="preserve"> </w:t>
            </w:r>
            <w:r w:rsidR="003D72FC" w:rsidRPr="00CA683F">
              <w:rPr>
                <w:rFonts w:ascii="Calibri" w:eastAsia="Calibri" w:hAnsi="Calibri" w:cs="Calibri"/>
                <w:b/>
                <w:bCs/>
                <w:sz w:val="20"/>
                <w:szCs w:val="20"/>
                <w:lang w:val="fr-FR"/>
              </w:rPr>
              <w:t>E</w:t>
            </w:r>
            <w:r>
              <w:rPr>
                <w:rFonts w:ascii="Calibri" w:eastAsia="Calibri" w:hAnsi="Calibri" w:cs="Calibri"/>
                <w:b/>
                <w:bCs/>
                <w:sz w:val="20"/>
                <w:szCs w:val="20"/>
                <w:lang w:val="fr-FR"/>
              </w:rPr>
              <w:t>ducation</w:t>
            </w:r>
            <w:proofErr w:type="gramEnd"/>
            <w:r>
              <w:rPr>
                <w:rFonts w:ascii="Calibri" w:eastAsia="Calibri" w:hAnsi="Calibri" w:cs="Calibri"/>
                <w:b/>
                <w:bCs/>
                <w:sz w:val="20"/>
                <w:szCs w:val="20"/>
                <w:lang w:val="fr-FR"/>
              </w:rPr>
              <w:t xml:space="preserve"> &amp; </w:t>
            </w:r>
            <w:r w:rsidR="003D72FC" w:rsidRPr="00CA683F">
              <w:rPr>
                <w:rFonts w:ascii="Calibri" w:eastAsia="Calibri" w:hAnsi="Calibri" w:cs="Calibri"/>
                <w:b/>
                <w:bCs/>
                <w:sz w:val="20"/>
                <w:szCs w:val="20"/>
                <w:lang w:val="fr-FR"/>
              </w:rPr>
              <w:t xml:space="preserve"> services</w:t>
            </w:r>
            <w:r>
              <w:rPr>
                <w:rFonts w:ascii="Calibri" w:eastAsia="Calibri" w:hAnsi="Calibri" w:cs="Calibri"/>
                <w:b/>
                <w:bCs/>
                <w:sz w:val="20"/>
                <w:szCs w:val="20"/>
                <w:lang w:val="fr-FR"/>
              </w:rPr>
              <w:t xml:space="preserve"> </w:t>
            </w:r>
            <w:r w:rsidR="007E21CD">
              <w:rPr>
                <w:rFonts w:ascii="Calibri" w:eastAsia="Calibri" w:hAnsi="Calibri" w:cs="Calibri"/>
                <w:b/>
                <w:bCs/>
                <w:sz w:val="20"/>
                <w:szCs w:val="20"/>
                <w:lang w:val="fr-FR"/>
              </w:rPr>
              <w:t>PE</w:t>
            </w:r>
          </w:p>
        </w:tc>
        <w:tc>
          <w:tcPr>
            <w:tcW w:w="1701" w:type="dxa"/>
            <w:hideMark/>
          </w:tcPr>
          <w:p w14:paraId="75C34027" w14:textId="7435C9E0" w:rsidR="00080CB7" w:rsidRPr="00CA683F" w:rsidRDefault="00CA683F" w:rsidP="00CA683F">
            <w:pPr>
              <w:rPr>
                <w:rFonts w:ascii="Calibri" w:eastAsia="Calibri" w:hAnsi="Calibri" w:cs="Calibri"/>
                <w:sz w:val="20"/>
                <w:szCs w:val="20"/>
                <w:lang w:val="fr-FR"/>
              </w:rPr>
            </w:pPr>
            <w:r w:rsidRPr="00CA683F">
              <w:rPr>
                <w:rFonts w:ascii="Calibri" w:eastAsia="Calibri" w:hAnsi="Calibri" w:cs="Calibri"/>
                <w:sz w:val="20"/>
                <w:szCs w:val="20"/>
                <w:lang w:val="fr-FR"/>
              </w:rPr>
              <w:t xml:space="preserve">Centres polyvalents (tels que </w:t>
            </w:r>
            <w:proofErr w:type="spellStart"/>
            <w:r w:rsidRPr="00CA683F">
              <w:rPr>
                <w:rFonts w:ascii="Calibri" w:eastAsia="Calibri" w:hAnsi="Calibri" w:cs="Calibri"/>
                <w:sz w:val="20"/>
                <w:szCs w:val="20"/>
                <w:lang w:val="fr-FR"/>
              </w:rPr>
              <w:t>Makani</w:t>
            </w:r>
            <w:proofErr w:type="spellEnd"/>
            <w:r w:rsidRPr="00CA683F">
              <w:rPr>
                <w:rFonts w:ascii="Calibri" w:eastAsia="Calibri" w:hAnsi="Calibri" w:cs="Calibri"/>
                <w:sz w:val="20"/>
                <w:szCs w:val="20"/>
                <w:lang w:val="fr-FR"/>
              </w:rPr>
              <w:t xml:space="preserve"> en Jordanie ou</w:t>
            </w:r>
            <w:r>
              <w:rPr>
                <w:rFonts w:ascii="Calibri" w:eastAsia="Calibri" w:hAnsi="Calibri" w:cs="Calibri"/>
                <w:sz w:val="20"/>
                <w:szCs w:val="20"/>
                <w:lang w:val="fr-FR"/>
              </w:rPr>
              <w:t xml:space="preserve"> centres de Cox’</w:t>
            </w:r>
            <w:r w:rsidRPr="00CA683F">
              <w:rPr>
                <w:rFonts w:ascii="Calibri" w:eastAsia="Calibri" w:hAnsi="Calibri" w:cs="Calibri"/>
                <w:sz w:val="20"/>
                <w:szCs w:val="20"/>
                <w:lang w:val="fr-FR"/>
              </w:rPr>
              <w:t xml:space="preserve"> </w:t>
            </w:r>
            <w:proofErr w:type="spellStart"/>
            <w:r w:rsidRPr="00CA683F">
              <w:rPr>
                <w:rFonts w:ascii="Calibri" w:eastAsia="Calibri" w:hAnsi="Calibri" w:cs="Calibri"/>
                <w:sz w:val="20"/>
                <w:szCs w:val="20"/>
                <w:lang w:val="fr-FR"/>
              </w:rPr>
              <w:t>Bazaar</w:t>
            </w:r>
            <w:proofErr w:type="spellEnd"/>
            <w:r w:rsidRPr="00CA683F">
              <w:rPr>
                <w:rFonts w:ascii="Calibri" w:eastAsia="Calibri" w:hAnsi="Calibri" w:cs="Calibri"/>
                <w:sz w:val="20"/>
                <w:szCs w:val="20"/>
                <w:lang w:val="fr-FR"/>
              </w:rPr>
              <w:t>) ou les centres communautaires</w:t>
            </w:r>
            <w:r w:rsidRPr="00CA683F">
              <w:rPr>
                <w:rFonts w:ascii="Calibri" w:eastAsia="Calibri" w:hAnsi="Calibri" w:cs="Calibri"/>
                <w:sz w:val="20"/>
                <w:szCs w:val="20"/>
                <w:vertAlign w:val="superscript"/>
                <w:lang w:val="fr-FR"/>
              </w:rPr>
              <w:t>1</w:t>
            </w:r>
          </w:p>
        </w:tc>
        <w:tc>
          <w:tcPr>
            <w:tcW w:w="7654" w:type="dxa"/>
            <w:hideMark/>
          </w:tcPr>
          <w:p w14:paraId="44E74D0E" w14:textId="16DFAFAA" w:rsidR="00C377E1" w:rsidRPr="00C377E1" w:rsidRDefault="00C377E1" w:rsidP="00C377E1">
            <w:pPr>
              <w:pStyle w:val="ListParagraph"/>
              <w:numPr>
                <w:ilvl w:val="0"/>
                <w:numId w:val="26"/>
              </w:numPr>
              <w:rPr>
                <w:sz w:val="20"/>
                <w:szCs w:val="20"/>
                <w:lang w:val="fr-FR"/>
              </w:rPr>
            </w:pPr>
            <w:r w:rsidRPr="00C377E1">
              <w:rPr>
                <w:sz w:val="20"/>
                <w:szCs w:val="20"/>
                <w:lang w:val="fr-FR"/>
              </w:rPr>
              <w:t xml:space="preserve"> Assurer un ciblage clair par activité, avec des critères expliqués aux bénéficiaires  </w:t>
            </w:r>
          </w:p>
          <w:p w14:paraId="7883E148" w14:textId="4C561C67" w:rsidR="00C377E1" w:rsidRPr="00C377E1" w:rsidRDefault="00C377E1" w:rsidP="00C377E1">
            <w:pPr>
              <w:pStyle w:val="ListParagraph"/>
              <w:numPr>
                <w:ilvl w:val="0"/>
                <w:numId w:val="26"/>
              </w:numPr>
              <w:rPr>
                <w:sz w:val="20"/>
                <w:szCs w:val="20"/>
                <w:lang w:val="fr-FR"/>
              </w:rPr>
            </w:pPr>
            <w:r w:rsidRPr="00C377E1">
              <w:rPr>
                <w:sz w:val="20"/>
                <w:szCs w:val="20"/>
                <w:lang w:val="fr-FR"/>
              </w:rPr>
              <w:t xml:space="preserve"> Veiller à ce que le personnel soit spécialisé dans son domaine d’activité et dispense une formation appropriée (c’est-à-dire qu’un travailleur social n’est pas un spécialiste de l’éducation non formelle)</w:t>
            </w:r>
          </w:p>
          <w:p w14:paraId="76668721" w14:textId="0BEE8880" w:rsidR="00C377E1" w:rsidRPr="00C377E1" w:rsidRDefault="00C377E1" w:rsidP="00C377E1">
            <w:pPr>
              <w:pStyle w:val="ListParagraph"/>
              <w:numPr>
                <w:ilvl w:val="0"/>
                <w:numId w:val="26"/>
              </w:numPr>
              <w:rPr>
                <w:sz w:val="20"/>
                <w:szCs w:val="20"/>
                <w:lang w:val="fr-FR"/>
              </w:rPr>
            </w:pPr>
            <w:r w:rsidRPr="00C377E1">
              <w:rPr>
                <w:sz w:val="20"/>
                <w:szCs w:val="20"/>
                <w:lang w:val="fr-FR"/>
              </w:rPr>
              <w:t xml:space="preserve"> Discuter avec les deux secteurs des accords de déclaration, afin d’éviter la double déclaration (voir l’annexe 8 pour plus d’informations)</w:t>
            </w:r>
          </w:p>
          <w:p w14:paraId="2738017D" w14:textId="50F8BFFF" w:rsidR="00080CB7" w:rsidRPr="00C377E1" w:rsidRDefault="00C377E1" w:rsidP="00C377E1">
            <w:pPr>
              <w:pStyle w:val="ListParagraph"/>
              <w:numPr>
                <w:ilvl w:val="0"/>
                <w:numId w:val="26"/>
              </w:numPr>
              <w:rPr>
                <w:rFonts w:eastAsiaTheme="minorEastAsia"/>
                <w:sz w:val="20"/>
                <w:szCs w:val="20"/>
                <w:lang w:val="fr-FR"/>
              </w:rPr>
            </w:pPr>
            <w:r w:rsidRPr="00C377E1">
              <w:rPr>
                <w:sz w:val="20"/>
                <w:szCs w:val="20"/>
                <w:lang w:val="fr-FR"/>
              </w:rPr>
              <w:t>Si nécessaire, communiquez avec d’autres agences spécialisées pour partager l’espace et/ou accroître la capacité de ciblage/qualité des services</w:t>
            </w:r>
            <w:r w:rsidR="00CA683F" w:rsidRPr="00CA683F">
              <w:rPr>
                <w:sz w:val="20"/>
                <w:szCs w:val="20"/>
                <w:lang w:val="fr-FR"/>
              </w:rPr>
              <w:t xml:space="preserve"> </w:t>
            </w:r>
            <w:r>
              <w:rPr>
                <w:sz w:val="20"/>
                <w:szCs w:val="20"/>
                <w:lang w:val="fr-FR"/>
              </w:rPr>
              <w:t xml:space="preserve">    </w:t>
            </w:r>
          </w:p>
        </w:tc>
      </w:tr>
      <w:tr w:rsidR="00080CB7" w:rsidRPr="00756E98" w14:paraId="59B4B8BE" w14:textId="77777777" w:rsidTr="003D72FC">
        <w:tc>
          <w:tcPr>
            <w:tcW w:w="1418" w:type="dxa"/>
            <w:hideMark/>
          </w:tcPr>
          <w:p w14:paraId="02F41185" w14:textId="5F568481" w:rsidR="00080CB7" w:rsidRPr="00C377E1" w:rsidRDefault="00C377E1" w:rsidP="00985B6B">
            <w:pPr>
              <w:rPr>
                <w:b/>
                <w:bCs/>
                <w:lang w:val="fr-FR"/>
              </w:rPr>
            </w:pPr>
            <w:r w:rsidRPr="00C377E1">
              <w:rPr>
                <w:rFonts w:ascii="Calibri" w:eastAsia="Calibri" w:hAnsi="Calibri" w:cs="Calibri"/>
                <w:b/>
                <w:bCs/>
                <w:sz w:val="20"/>
                <w:szCs w:val="20"/>
                <w:lang w:val="fr-FR"/>
              </w:rPr>
              <w:t xml:space="preserve">Éducation et </w:t>
            </w:r>
            <w:r w:rsidR="007E21CD">
              <w:rPr>
                <w:rFonts w:ascii="Calibri" w:eastAsia="Calibri" w:hAnsi="Calibri" w:cs="Calibri"/>
                <w:b/>
                <w:bCs/>
                <w:sz w:val="20"/>
                <w:szCs w:val="20"/>
                <w:lang w:val="fr-FR"/>
              </w:rPr>
              <w:t>PE</w:t>
            </w:r>
            <w:r w:rsidRPr="00C377E1">
              <w:rPr>
                <w:rFonts w:ascii="Calibri" w:eastAsia="Calibri" w:hAnsi="Calibri" w:cs="Calibri"/>
                <w:b/>
                <w:bCs/>
                <w:sz w:val="20"/>
                <w:szCs w:val="20"/>
                <w:lang w:val="fr-FR"/>
              </w:rPr>
              <w:t xml:space="preserve"> offrant des services au même endroit</w:t>
            </w:r>
          </w:p>
        </w:tc>
        <w:tc>
          <w:tcPr>
            <w:tcW w:w="1701" w:type="dxa"/>
            <w:hideMark/>
          </w:tcPr>
          <w:p w14:paraId="6850CE0A" w14:textId="18C88DDD" w:rsidR="00080CB7" w:rsidRPr="00890C2E" w:rsidRDefault="00C377E1" w:rsidP="00985B6B">
            <w:pPr>
              <w:rPr>
                <w:lang w:val="en-GB"/>
              </w:rPr>
            </w:pPr>
            <w:r w:rsidRPr="00C377E1">
              <w:rPr>
                <w:rFonts w:ascii="Calibri" w:eastAsia="Calibri" w:hAnsi="Calibri" w:cs="Calibri"/>
                <w:sz w:val="20"/>
                <w:szCs w:val="20"/>
                <w:lang w:val="en-GB"/>
              </w:rPr>
              <w:t xml:space="preserve">Centres </w:t>
            </w:r>
            <w:proofErr w:type="spellStart"/>
            <w:r w:rsidRPr="00C377E1">
              <w:rPr>
                <w:rFonts w:ascii="Calibri" w:eastAsia="Calibri" w:hAnsi="Calibri" w:cs="Calibri"/>
                <w:sz w:val="20"/>
                <w:szCs w:val="20"/>
                <w:lang w:val="en-GB"/>
              </w:rPr>
              <w:t>po</w:t>
            </w:r>
            <w:r>
              <w:rPr>
                <w:rFonts w:ascii="Calibri" w:eastAsia="Calibri" w:hAnsi="Calibri" w:cs="Calibri"/>
                <w:sz w:val="20"/>
                <w:szCs w:val="20"/>
                <w:lang w:val="en-GB"/>
              </w:rPr>
              <w:t>lyvalents</w:t>
            </w:r>
            <w:proofErr w:type="spellEnd"/>
            <w:r>
              <w:rPr>
                <w:rFonts w:ascii="Calibri" w:eastAsia="Calibri" w:hAnsi="Calibri" w:cs="Calibri"/>
                <w:sz w:val="20"/>
                <w:szCs w:val="20"/>
                <w:lang w:val="en-GB"/>
              </w:rPr>
              <w:t xml:space="preserve">/centres </w:t>
            </w:r>
          </w:p>
        </w:tc>
        <w:tc>
          <w:tcPr>
            <w:tcW w:w="7654" w:type="dxa"/>
            <w:hideMark/>
          </w:tcPr>
          <w:p w14:paraId="08FC2BD3" w14:textId="790B577E" w:rsidR="00332DAC" w:rsidRPr="00332DAC" w:rsidRDefault="00332DAC" w:rsidP="00332DAC">
            <w:pPr>
              <w:pStyle w:val="ListParagraph"/>
              <w:numPr>
                <w:ilvl w:val="0"/>
                <w:numId w:val="26"/>
              </w:numPr>
              <w:rPr>
                <w:sz w:val="20"/>
                <w:szCs w:val="20"/>
                <w:lang w:val="fr-FR"/>
              </w:rPr>
            </w:pPr>
            <w:r w:rsidRPr="00332DAC">
              <w:rPr>
                <w:sz w:val="20"/>
                <w:szCs w:val="20"/>
                <w:lang w:val="fr-FR"/>
              </w:rPr>
              <w:t>Pour assurer la sécurité, la qualité et les normes minimales, il est recommandé qu’une organisation soit responsable de la gestion et/ou de la supervision d’un centre</w:t>
            </w:r>
          </w:p>
          <w:p w14:paraId="4D29FA6B" w14:textId="0019398F" w:rsidR="00332DAC" w:rsidRPr="00332DAC" w:rsidRDefault="00332DAC" w:rsidP="00332DAC">
            <w:pPr>
              <w:pStyle w:val="ListParagraph"/>
              <w:numPr>
                <w:ilvl w:val="0"/>
                <w:numId w:val="26"/>
              </w:numPr>
              <w:rPr>
                <w:sz w:val="20"/>
                <w:szCs w:val="20"/>
                <w:lang w:val="fr-FR"/>
              </w:rPr>
            </w:pPr>
            <w:r w:rsidRPr="00332DAC">
              <w:rPr>
                <w:sz w:val="20"/>
                <w:szCs w:val="20"/>
                <w:lang w:val="fr-FR"/>
              </w:rPr>
              <w:t xml:space="preserve"> Assurer un ciblage clair par activité, avec des critères expliqués aux bénéficiaires  </w:t>
            </w:r>
          </w:p>
          <w:p w14:paraId="5E78C09F" w14:textId="6686AF1B" w:rsidR="00332DAC" w:rsidRPr="00332DAC" w:rsidRDefault="00332DAC" w:rsidP="00332DAC">
            <w:pPr>
              <w:pStyle w:val="ListParagraph"/>
              <w:numPr>
                <w:ilvl w:val="0"/>
                <w:numId w:val="26"/>
              </w:numPr>
              <w:rPr>
                <w:sz w:val="20"/>
                <w:szCs w:val="20"/>
                <w:lang w:val="fr-FR"/>
              </w:rPr>
            </w:pPr>
            <w:r w:rsidRPr="00332DAC">
              <w:rPr>
                <w:sz w:val="20"/>
                <w:szCs w:val="20"/>
                <w:lang w:val="fr-FR"/>
              </w:rPr>
              <w:t xml:space="preserve">Veiller à ce que le personnel soit spécialisé dans son domaine d’activité et dispense une formation appropriée (c’est-à-dire qu’un travailleur social n’est pas </w:t>
            </w:r>
            <w:r w:rsidRPr="00332DAC">
              <w:rPr>
                <w:sz w:val="20"/>
                <w:szCs w:val="20"/>
                <w:lang w:val="fr-FR"/>
              </w:rPr>
              <w:lastRenderedPageBreak/>
              <w:t xml:space="preserve">un spécialiste de la NFE) : les services spécialisés ne peuvent être fournis que par des équipes ayant une expertise spécifique </w:t>
            </w:r>
          </w:p>
          <w:p w14:paraId="5982873A" w14:textId="59A628F6" w:rsidR="00332DAC" w:rsidRPr="00332DAC" w:rsidRDefault="00332DAC" w:rsidP="00332DAC">
            <w:pPr>
              <w:pStyle w:val="ListParagraph"/>
              <w:numPr>
                <w:ilvl w:val="0"/>
                <w:numId w:val="26"/>
              </w:numPr>
              <w:rPr>
                <w:sz w:val="20"/>
                <w:szCs w:val="20"/>
                <w:lang w:val="fr-FR"/>
              </w:rPr>
            </w:pPr>
            <w:r w:rsidRPr="00332DAC">
              <w:rPr>
                <w:sz w:val="20"/>
                <w:szCs w:val="20"/>
                <w:lang w:val="fr-FR"/>
              </w:rPr>
              <w:t>Discuter avec les deux secteurs des accords de déclaration, afin d’éviter la double déclaration (voir l’annexe 8 pour plus d’informations)</w:t>
            </w:r>
          </w:p>
          <w:p w14:paraId="09646178" w14:textId="77777777" w:rsidR="00332DAC" w:rsidRDefault="00332DAC" w:rsidP="00332DAC">
            <w:pPr>
              <w:pStyle w:val="ListParagraph"/>
              <w:numPr>
                <w:ilvl w:val="0"/>
                <w:numId w:val="26"/>
              </w:numPr>
              <w:rPr>
                <w:sz w:val="20"/>
                <w:szCs w:val="20"/>
                <w:lang w:val="fr-FR"/>
              </w:rPr>
            </w:pPr>
            <w:r w:rsidRPr="00332DAC">
              <w:rPr>
                <w:sz w:val="20"/>
                <w:szCs w:val="20"/>
                <w:lang w:val="fr-FR"/>
              </w:rPr>
              <w:t xml:space="preserve"> Veiller à ce que les salaires et les conditions de travail du personnel soient semblables entre les secteurs   </w:t>
            </w:r>
          </w:p>
          <w:p w14:paraId="1E0B1EF5" w14:textId="663B6B3B" w:rsidR="00332DAC" w:rsidRPr="00332DAC" w:rsidRDefault="00332DAC" w:rsidP="00332DAC">
            <w:pPr>
              <w:pStyle w:val="ListParagraph"/>
              <w:numPr>
                <w:ilvl w:val="0"/>
                <w:numId w:val="26"/>
              </w:numPr>
              <w:rPr>
                <w:sz w:val="20"/>
                <w:szCs w:val="20"/>
                <w:lang w:val="fr-FR"/>
              </w:rPr>
            </w:pPr>
            <w:r w:rsidRPr="00332DAC">
              <w:rPr>
                <w:sz w:val="20"/>
                <w:szCs w:val="20"/>
                <w:lang w:val="fr-FR"/>
              </w:rPr>
              <w:t xml:space="preserve"> Assurer une bonne coordination entre les organismes et les équipes : approche cohérente des activités et de la sensibilisation, discussions sur les bénéficiaires de chaque activité, éviter le chevauchement des activités (en particulier les activités du MHPSS), les heures de travail et le mandat spécifiques</w:t>
            </w:r>
          </w:p>
          <w:p w14:paraId="2BAF59B3" w14:textId="56856EF1" w:rsidR="00332DAC" w:rsidRPr="00332DAC" w:rsidRDefault="00332DAC" w:rsidP="00332DAC">
            <w:pPr>
              <w:pStyle w:val="ListParagraph"/>
              <w:numPr>
                <w:ilvl w:val="0"/>
                <w:numId w:val="26"/>
              </w:numPr>
              <w:rPr>
                <w:sz w:val="20"/>
                <w:szCs w:val="20"/>
                <w:lang w:val="fr-FR"/>
              </w:rPr>
            </w:pPr>
            <w:r w:rsidRPr="00332DAC">
              <w:rPr>
                <w:sz w:val="20"/>
                <w:szCs w:val="20"/>
                <w:lang w:val="fr-FR"/>
              </w:rPr>
              <w:t xml:space="preserve"> Entente de renforcement des capacités et voies d’aiguillage en place</w:t>
            </w:r>
          </w:p>
          <w:p w14:paraId="67F91558" w14:textId="73504216" w:rsidR="00080CB7" w:rsidRPr="00332DAC" w:rsidRDefault="00332DAC" w:rsidP="00332DAC">
            <w:pPr>
              <w:pStyle w:val="ListParagraph"/>
              <w:numPr>
                <w:ilvl w:val="0"/>
                <w:numId w:val="26"/>
              </w:numPr>
              <w:rPr>
                <w:rFonts w:eastAsiaTheme="minorEastAsia"/>
                <w:sz w:val="20"/>
                <w:szCs w:val="20"/>
                <w:lang w:val="fr-FR"/>
              </w:rPr>
            </w:pPr>
            <w:r w:rsidRPr="00332DAC">
              <w:rPr>
                <w:sz w:val="20"/>
                <w:szCs w:val="20"/>
                <w:lang w:val="fr-FR"/>
              </w:rPr>
              <w:t xml:space="preserve"> Planification régulière sur place et réunions opérationnelles entre les organismes du </w:t>
            </w:r>
            <w:r w:rsidR="007E21CD">
              <w:rPr>
                <w:sz w:val="20"/>
                <w:szCs w:val="20"/>
                <w:lang w:val="fr-FR"/>
              </w:rPr>
              <w:t>PE</w:t>
            </w:r>
            <w:r w:rsidRPr="00332DAC">
              <w:rPr>
                <w:sz w:val="20"/>
                <w:szCs w:val="20"/>
                <w:lang w:val="fr-FR"/>
              </w:rPr>
              <w:t xml:space="preserve"> et de l’EI pour la communication des enjeux, les adaptations possibles et les leçons apprises</w:t>
            </w:r>
          </w:p>
        </w:tc>
      </w:tr>
      <w:tr w:rsidR="00332DAC" w:rsidRPr="00756E98" w14:paraId="0E5BB516" w14:textId="77777777" w:rsidTr="003D72FC">
        <w:tc>
          <w:tcPr>
            <w:tcW w:w="1418" w:type="dxa"/>
            <w:hideMark/>
          </w:tcPr>
          <w:p w14:paraId="052040D2" w14:textId="613FBDC7" w:rsidR="00332DAC" w:rsidRPr="00332DAC" w:rsidRDefault="00332DAC" w:rsidP="00332DAC">
            <w:pPr>
              <w:rPr>
                <w:b/>
                <w:bCs/>
                <w:lang w:val="fr-FR"/>
              </w:rPr>
            </w:pPr>
            <w:r w:rsidRPr="00332DAC">
              <w:rPr>
                <w:rFonts w:ascii="Calibri" w:eastAsia="Calibri" w:hAnsi="Calibri" w:cs="Calibri"/>
                <w:b/>
                <w:bCs/>
                <w:sz w:val="20"/>
                <w:szCs w:val="20"/>
                <w:lang w:val="fr-FR"/>
              </w:rPr>
              <w:lastRenderedPageBreak/>
              <w:t xml:space="preserve">Le </w:t>
            </w:r>
            <w:r w:rsidR="007E21CD">
              <w:rPr>
                <w:rFonts w:ascii="Calibri" w:eastAsia="Calibri" w:hAnsi="Calibri" w:cs="Calibri"/>
                <w:b/>
                <w:bCs/>
                <w:sz w:val="20"/>
                <w:szCs w:val="20"/>
                <w:lang w:val="fr-FR"/>
              </w:rPr>
              <w:t>PE</w:t>
            </w:r>
            <w:r w:rsidRPr="00332DAC">
              <w:rPr>
                <w:rFonts w:ascii="Calibri" w:eastAsia="Calibri" w:hAnsi="Calibri" w:cs="Calibri"/>
                <w:b/>
                <w:bCs/>
                <w:sz w:val="20"/>
                <w:szCs w:val="20"/>
                <w:lang w:val="fr-FR"/>
              </w:rPr>
              <w:t xml:space="preserve"> offre ces </w:t>
            </w:r>
            <w:proofErr w:type="gramStart"/>
            <w:r w:rsidRPr="00332DAC">
              <w:rPr>
                <w:rFonts w:ascii="Calibri" w:eastAsia="Calibri" w:hAnsi="Calibri" w:cs="Calibri"/>
                <w:b/>
                <w:bCs/>
                <w:sz w:val="20"/>
                <w:szCs w:val="20"/>
                <w:lang w:val="fr-FR"/>
              </w:rPr>
              <w:t>services  dans</w:t>
            </w:r>
            <w:proofErr w:type="gramEnd"/>
            <w:r w:rsidRPr="00332DAC">
              <w:rPr>
                <w:rFonts w:ascii="Calibri" w:eastAsia="Calibri" w:hAnsi="Calibri" w:cs="Calibri"/>
                <w:b/>
                <w:bCs/>
                <w:sz w:val="20"/>
                <w:szCs w:val="20"/>
                <w:lang w:val="fr-FR"/>
              </w:rPr>
              <w:t xml:space="preserve"> les sites d’éducation</w:t>
            </w:r>
          </w:p>
        </w:tc>
        <w:tc>
          <w:tcPr>
            <w:tcW w:w="1701" w:type="dxa"/>
            <w:hideMark/>
          </w:tcPr>
          <w:p w14:paraId="77A82DB7" w14:textId="6526B89E" w:rsidR="00332DAC" w:rsidRPr="00332DAC" w:rsidRDefault="00332DAC" w:rsidP="00332DAC">
            <w:pPr>
              <w:rPr>
                <w:rFonts w:ascii="Calibri" w:eastAsia="Calibri" w:hAnsi="Calibri" w:cs="Calibri"/>
                <w:sz w:val="20"/>
                <w:szCs w:val="20"/>
                <w:lang w:val="fr-FR"/>
              </w:rPr>
            </w:pPr>
            <w:r w:rsidRPr="00332DAC">
              <w:rPr>
                <w:rFonts w:ascii="Calibri" w:eastAsia="Calibri" w:hAnsi="Calibri" w:cs="Calibri"/>
                <w:sz w:val="20"/>
                <w:szCs w:val="20"/>
                <w:lang w:val="fr-FR"/>
              </w:rPr>
              <w:t>Soutien psycho</w:t>
            </w:r>
            <w:r w:rsidR="005A3BCA">
              <w:rPr>
                <w:rFonts w:ascii="Calibri" w:eastAsia="Calibri" w:hAnsi="Calibri" w:cs="Calibri"/>
                <w:sz w:val="20"/>
                <w:szCs w:val="20"/>
                <w:lang w:val="fr-FR"/>
              </w:rPr>
              <w:t>social spécialisé et conseils sur la</w:t>
            </w:r>
          </w:p>
          <w:p w14:paraId="09EEC370" w14:textId="77777777" w:rsidR="00332DAC" w:rsidRPr="00332DAC" w:rsidRDefault="00332DAC" w:rsidP="00332DAC">
            <w:pPr>
              <w:rPr>
                <w:rFonts w:ascii="Calibri" w:eastAsia="Calibri" w:hAnsi="Calibri" w:cs="Calibri"/>
                <w:sz w:val="20"/>
                <w:szCs w:val="20"/>
                <w:lang w:val="fr-FR"/>
              </w:rPr>
            </w:pPr>
            <w:r w:rsidRPr="00332DAC">
              <w:rPr>
                <w:rFonts w:ascii="Calibri" w:eastAsia="Calibri" w:hAnsi="Calibri" w:cs="Calibri"/>
                <w:sz w:val="20"/>
                <w:szCs w:val="20"/>
                <w:lang w:val="fr-FR"/>
              </w:rPr>
              <w:t>Gestion des cas</w:t>
            </w:r>
          </w:p>
          <w:p w14:paraId="41636C11" w14:textId="2CF06B1D" w:rsidR="00332DAC" w:rsidRPr="00332DAC" w:rsidRDefault="00332DAC" w:rsidP="00332DAC">
            <w:pPr>
              <w:rPr>
                <w:lang w:val="fr-FR"/>
              </w:rPr>
            </w:pPr>
            <w:r w:rsidRPr="00332DAC">
              <w:rPr>
                <w:rFonts w:ascii="Calibri" w:eastAsia="Calibri" w:hAnsi="Calibri" w:cs="Calibri"/>
                <w:sz w:val="20"/>
                <w:szCs w:val="20"/>
                <w:lang w:val="fr-FR"/>
              </w:rPr>
              <w:t xml:space="preserve"> Traçage</w:t>
            </w:r>
            <w:r w:rsidR="005A3BCA">
              <w:rPr>
                <w:rFonts w:ascii="Calibri" w:eastAsia="Calibri" w:hAnsi="Calibri" w:cs="Calibri"/>
                <w:sz w:val="20"/>
                <w:szCs w:val="20"/>
                <w:lang w:val="fr-FR"/>
              </w:rPr>
              <w:t xml:space="preserve"> et </w:t>
            </w:r>
            <w:r w:rsidRPr="00332DAC">
              <w:rPr>
                <w:rFonts w:ascii="Calibri" w:eastAsia="Calibri" w:hAnsi="Calibri" w:cs="Calibri"/>
                <w:sz w:val="20"/>
                <w:szCs w:val="20"/>
                <w:lang w:val="fr-FR"/>
              </w:rPr>
              <w:t>réunification</w:t>
            </w:r>
            <w:r w:rsidR="005A3BCA">
              <w:rPr>
                <w:rFonts w:ascii="Calibri" w:eastAsia="Calibri" w:hAnsi="Calibri" w:cs="Calibri"/>
                <w:sz w:val="20"/>
                <w:szCs w:val="20"/>
                <w:lang w:val="fr-FR"/>
              </w:rPr>
              <w:t xml:space="preserve"> des familles</w:t>
            </w:r>
          </w:p>
        </w:tc>
        <w:tc>
          <w:tcPr>
            <w:tcW w:w="7654" w:type="dxa"/>
            <w:hideMark/>
          </w:tcPr>
          <w:p w14:paraId="7DA787E4" w14:textId="2E1F1A6A" w:rsidR="00A16F4E" w:rsidRPr="00A16F4E" w:rsidRDefault="00A16F4E" w:rsidP="00A16F4E">
            <w:pPr>
              <w:pStyle w:val="ListParagraph"/>
              <w:numPr>
                <w:ilvl w:val="0"/>
                <w:numId w:val="26"/>
              </w:numPr>
              <w:rPr>
                <w:sz w:val="20"/>
                <w:szCs w:val="20"/>
                <w:lang w:val="fr-FR"/>
              </w:rPr>
            </w:pPr>
            <w:r w:rsidRPr="00A16F4E">
              <w:rPr>
                <w:sz w:val="20"/>
                <w:szCs w:val="20"/>
                <w:lang w:val="fr-FR"/>
              </w:rPr>
              <w:t xml:space="preserve"> Veiller à ce que les salaires et les conditions de travail du personnel soient semblables entre les secteurs</w:t>
            </w:r>
          </w:p>
          <w:p w14:paraId="1F1538BB" w14:textId="5B086458" w:rsidR="00A16F4E" w:rsidRPr="00A16F4E" w:rsidRDefault="00A16F4E" w:rsidP="00A16F4E">
            <w:pPr>
              <w:pStyle w:val="ListParagraph"/>
              <w:numPr>
                <w:ilvl w:val="0"/>
                <w:numId w:val="26"/>
              </w:numPr>
              <w:rPr>
                <w:sz w:val="20"/>
                <w:szCs w:val="20"/>
                <w:lang w:val="fr-FR"/>
              </w:rPr>
            </w:pPr>
            <w:r w:rsidRPr="00A16F4E">
              <w:rPr>
                <w:sz w:val="20"/>
                <w:szCs w:val="20"/>
                <w:lang w:val="fr-FR"/>
              </w:rPr>
              <w:t>Assurer une bonne coordination entre les organismes et les équipes : approche cohérente des activités et de la sensibilisation, discussions sur les bénéficiaires de chaque activité, éviter le chevauchement des activités (en particulier les activités du MHPSS), les heures de travail et le mandat spécifiques</w:t>
            </w:r>
          </w:p>
          <w:p w14:paraId="0C2E1E00" w14:textId="1613DECD" w:rsidR="00A16F4E" w:rsidRPr="00A16F4E" w:rsidRDefault="00A16F4E" w:rsidP="00A16F4E">
            <w:pPr>
              <w:pStyle w:val="ListParagraph"/>
              <w:numPr>
                <w:ilvl w:val="0"/>
                <w:numId w:val="26"/>
              </w:numPr>
              <w:rPr>
                <w:sz w:val="20"/>
                <w:szCs w:val="20"/>
                <w:lang w:val="fr-FR"/>
              </w:rPr>
            </w:pPr>
            <w:r w:rsidRPr="00A16F4E">
              <w:rPr>
                <w:sz w:val="20"/>
                <w:szCs w:val="20"/>
                <w:lang w:val="fr-FR"/>
              </w:rPr>
              <w:t>Entente de renforcement des</w:t>
            </w:r>
            <w:r>
              <w:rPr>
                <w:sz w:val="20"/>
                <w:szCs w:val="20"/>
                <w:lang w:val="fr-FR"/>
              </w:rPr>
              <w:t xml:space="preserve"> capacités et voies de référence</w:t>
            </w:r>
            <w:r w:rsidRPr="00A16F4E">
              <w:rPr>
                <w:sz w:val="20"/>
                <w:szCs w:val="20"/>
                <w:lang w:val="fr-FR"/>
              </w:rPr>
              <w:t xml:space="preserve"> en place</w:t>
            </w:r>
          </w:p>
          <w:p w14:paraId="57DE8330" w14:textId="3EAE487E" w:rsidR="00332DAC" w:rsidRPr="00A16F4E" w:rsidRDefault="00A16F4E" w:rsidP="00A16F4E">
            <w:pPr>
              <w:pStyle w:val="ListParagraph"/>
              <w:numPr>
                <w:ilvl w:val="0"/>
                <w:numId w:val="26"/>
              </w:numPr>
              <w:rPr>
                <w:rFonts w:eastAsiaTheme="minorEastAsia"/>
                <w:sz w:val="20"/>
                <w:szCs w:val="20"/>
                <w:lang w:val="fr-FR"/>
              </w:rPr>
            </w:pPr>
            <w:r w:rsidRPr="00A16F4E">
              <w:rPr>
                <w:sz w:val="20"/>
                <w:szCs w:val="20"/>
                <w:lang w:val="fr-FR"/>
              </w:rPr>
              <w:t xml:space="preserve"> Planification régulière sur place et réunions opérationnelles entre les organismes du </w:t>
            </w:r>
            <w:r w:rsidR="007E21CD">
              <w:rPr>
                <w:sz w:val="20"/>
                <w:szCs w:val="20"/>
                <w:lang w:val="fr-FR"/>
              </w:rPr>
              <w:t>PE</w:t>
            </w:r>
            <w:r w:rsidRPr="00A16F4E">
              <w:rPr>
                <w:sz w:val="20"/>
                <w:szCs w:val="20"/>
                <w:lang w:val="fr-FR"/>
              </w:rPr>
              <w:t xml:space="preserve"> et de l’EI pour la communication des enjeux, les adaptations possibles et les leçons apprises</w:t>
            </w:r>
            <w:r>
              <w:rPr>
                <w:sz w:val="20"/>
                <w:szCs w:val="20"/>
                <w:lang w:val="fr-FR"/>
              </w:rPr>
              <w:t xml:space="preserve">     </w:t>
            </w:r>
            <w:r w:rsidRPr="00A16F4E">
              <w:rPr>
                <w:sz w:val="20"/>
                <w:szCs w:val="20"/>
                <w:lang w:val="fr-FR"/>
              </w:rPr>
              <w:t xml:space="preserve"> </w:t>
            </w:r>
          </w:p>
        </w:tc>
      </w:tr>
      <w:tr w:rsidR="00332DAC" w:rsidRPr="00756E98" w14:paraId="2D5C0A55" w14:textId="77777777" w:rsidTr="003D72FC">
        <w:tc>
          <w:tcPr>
            <w:tcW w:w="1418" w:type="dxa"/>
            <w:hideMark/>
          </w:tcPr>
          <w:p w14:paraId="6F3ECF00" w14:textId="472F1B67" w:rsidR="00332DAC" w:rsidRPr="00A16F4E" w:rsidRDefault="00A16F4E" w:rsidP="00332DAC">
            <w:pPr>
              <w:rPr>
                <w:b/>
                <w:bCs/>
                <w:lang w:val="fr-FR"/>
              </w:rPr>
            </w:pPr>
            <w:r w:rsidRPr="00A16F4E">
              <w:rPr>
                <w:rFonts w:ascii="Calibri" w:eastAsia="Calibri" w:hAnsi="Calibri" w:cs="Calibri"/>
                <w:b/>
                <w:bCs/>
                <w:sz w:val="20"/>
                <w:szCs w:val="20"/>
                <w:lang w:val="fr-FR"/>
              </w:rPr>
              <w:t xml:space="preserve">Éducation offrant des services d’éducation dans les sites du </w:t>
            </w:r>
            <w:r w:rsidR="007E21CD">
              <w:rPr>
                <w:rFonts w:ascii="Calibri" w:eastAsia="Calibri" w:hAnsi="Calibri" w:cs="Calibri"/>
                <w:b/>
                <w:bCs/>
                <w:sz w:val="20"/>
                <w:szCs w:val="20"/>
                <w:lang w:val="fr-FR"/>
              </w:rPr>
              <w:t>PE</w:t>
            </w:r>
          </w:p>
        </w:tc>
        <w:tc>
          <w:tcPr>
            <w:tcW w:w="1701" w:type="dxa"/>
            <w:hideMark/>
          </w:tcPr>
          <w:p w14:paraId="051681E3" w14:textId="40B6033F" w:rsidR="00332DAC" w:rsidRPr="00A16F4E" w:rsidRDefault="00A16F4E" w:rsidP="00332DAC">
            <w:pPr>
              <w:rPr>
                <w:lang w:val="fr-FR"/>
              </w:rPr>
            </w:pPr>
            <w:r w:rsidRPr="00A16F4E">
              <w:rPr>
                <w:rFonts w:ascii="Calibri" w:eastAsia="Calibri" w:hAnsi="Calibri" w:cs="Calibri"/>
                <w:sz w:val="20"/>
                <w:szCs w:val="20"/>
                <w:lang w:val="fr-FR"/>
              </w:rPr>
              <w:t xml:space="preserve">Programmes de réinsertion scolaires de </w:t>
            </w:r>
            <w:r w:rsidR="00332DAC" w:rsidRPr="00A16F4E">
              <w:rPr>
                <w:rFonts w:ascii="Calibri" w:eastAsia="Calibri" w:hAnsi="Calibri" w:cs="Calibri"/>
                <w:sz w:val="20"/>
                <w:szCs w:val="20"/>
                <w:lang w:val="fr-FR"/>
              </w:rPr>
              <w:t>NFE</w:t>
            </w:r>
          </w:p>
        </w:tc>
        <w:tc>
          <w:tcPr>
            <w:tcW w:w="7654" w:type="dxa"/>
            <w:hideMark/>
          </w:tcPr>
          <w:p w14:paraId="2C62CCF3" w14:textId="6DDA7241" w:rsidR="00A16F4E" w:rsidRPr="00A16F4E" w:rsidRDefault="00A16F4E" w:rsidP="00A16F4E">
            <w:pPr>
              <w:pStyle w:val="ListParagraph"/>
              <w:numPr>
                <w:ilvl w:val="0"/>
                <w:numId w:val="26"/>
              </w:numPr>
              <w:rPr>
                <w:sz w:val="20"/>
                <w:szCs w:val="20"/>
                <w:lang w:val="fr-FR"/>
              </w:rPr>
            </w:pPr>
            <w:r w:rsidRPr="00A16F4E">
              <w:rPr>
                <w:sz w:val="20"/>
                <w:szCs w:val="20"/>
                <w:lang w:val="fr-FR"/>
              </w:rPr>
              <w:t xml:space="preserve"> Veiller à ce que les salaires et les conditions de travail du personnel soient semblables entre les secteurs </w:t>
            </w:r>
          </w:p>
          <w:p w14:paraId="655D4657" w14:textId="63C075FC" w:rsidR="00A16F4E" w:rsidRPr="00A16F4E" w:rsidRDefault="00A16F4E" w:rsidP="00A16F4E">
            <w:pPr>
              <w:pStyle w:val="ListParagraph"/>
              <w:numPr>
                <w:ilvl w:val="0"/>
                <w:numId w:val="26"/>
              </w:numPr>
              <w:rPr>
                <w:sz w:val="20"/>
                <w:szCs w:val="20"/>
                <w:lang w:val="fr-FR"/>
              </w:rPr>
            </w:pPr>
            <w:r w:rsidRPr="00A16F4E">
              <w:rPr>
                <w:sz w:val="20"/>
                <w:szCs w:val="20"/>
                <w:lang w:val="fr-FR"/>
              </w:rPr>
              <w:t xml:space="preserve"> Assurer une bonne coordination entre les organismes et les équipes : approche cohérente des activités et de la sensibilisation, discussions sur les bénéficiaires de chaque activité, éviter le chevauchement des activités (en particulier les activités du MHPSS), les heures de travail et le mandat spécifiques</w:t>
            </w:r>
          </w:p>
          <w:p w14:paraId="46605D0F" w14:textId="4C6AE13F" w:rsidR="00A16F4E" w:rsidRPr="00A16F4E" w:rsidRDefault="00A16F4E" w:rsidP="00A16F4E">
            <w:pPr>
              <w:pStyle w:val="ListParagraph"/>
              <w:numPr>
                <w:ilvl w:val="0"/>
                <w:numId w:val="26"/>
              </w:numPr>
              <w:rPr>
                <w:sz w:val="20"/>
                <w:szCs w:val="20"/>
                <w:lang w:val="fr-FR"/>
              </w:rPr>
            </w:pPr>
            <w:r w:rsidRPr="00A16F4E">
              <w:rPr>
                <w:sz w:val="20"/>
                <w:szCs w:val="20"/>
                <w:lang w:val="fr-FR"/>
              </w:rPr>
              <w:t>Entente de renforcement des capacités et voies d’aiguillage en place</w:t>
            </w:r>
          </w:p>
          <w:p w14:paraId="6966F1ED" w14:textId="77D3857F" w:rsidR="00332DAC" w:rsidRPr="00A16F4E" w:rsidRDefault="00A16F4E" w:rsidP="00A16F4E">
            <w:pPr>
              <w:pStyle w:val="ListParagraph"/>
              <w:numPr>
                <w:ilvl w:val="0"/>
                <w:numId w:val="26"/>
              </w:numPr>
              <w:rPr>
                <w:rFonts w:eastAsiaTheme="minorEastAsia"/>
                <w:sz w:val="20"/>
                <w:szCs w:val="20"/>
                <w:lang w:val="fr-FR"/>
              </w:rPr>
            </w:pPr>
            <w:r w:rsidRPr="00A16F4E">
              <w:rPr>
                <w:sz w:val="20"/>
                <w:szCs w:val="20"/>
                <w:lang w:val="fr-FR"/>
              </w:rPr>
              <w:t xml:space="preserve"> Planification régulière sur place et réunions opérationnelles entre les organismes du </w:t>
            </w:r>
            <w:r w:rsidR="007E21CD">
              <w:rPr>
                <w:sz w:val="20"/>
                <w:szCs w:val="20"/>
                <w:lang w:val="fr-FR"/>
              </w:rPr>
              <w:t>PE</w:t>
            </w:r>
            <w:r w:rsidRPr="00A16F4E">
              <w:rPr>
                <w:sz w:val="20"/>
                <w:szCs w:val="20"/>
                <w:lang w:val="fr-FR"/>
              </w:rPr>
              <w:t xml:space="preserve"> et de l’EI pour la communication des enjeux, des adaptations possibles et des leçons apprises</w:t>
            </w:r>
            <w:r>
              <w:rPr>
                <w:sz w:val="20"/>
                <w:szCs w:val="20"/>
                <w:lang w:val="fr-FR"/>
              </w:rPr>
              <w:t xml:space="preserve">       </w:t>
            </w:r>
          </w:p>
        </w:tc>
      </w:tr>
      <w:tr w:rsidR="0039782D" w:rsidRPr="00756E98" w14:paraId="0A567A67" w14:textId="77777777" w:rsidTr="003D72FC">
        <w:tc>
          <w:tcPr>
            <w:tcW w:w="1418" w:type="dxa"/>
            <w:hideMark/>
          </w:tcPr>
          <w:p w14:paraId="3F0534AC" w14:textId="3178E19C" w:rsidR="0039782D" w:rsidRPr="00A16F4E" w:rsidRDefault="007E21CD" w:rsidP="0039782D">
            <w:pPr>
              <w:rPr>
                <w:b/>
                <w:bCs/>
                <w:lang w:val="fr-FR"/>
              </w:rPr>
            </w:pPr>
            <w:r>
              <w:rPr>
                <w:rFonts w:ascii="Calibri" w:eastAsia="Calibri" w:hAnsi="Calibri" w:cs="Calibri"/>
                <w:b/>
                <w:bCs/>
                <w:sz w:val="20"/>
                <w:szCs w:val="20"/>
                <w:lang w:val="fr-FR"/>
              </w:rPr>
              <w:t>PE</w:t>
            </w:r>
            <w:r w:rsidR="0039782D" w:rsidRPr="00A16F4E">
              <w:rPr>
                <w:rFonts w:ascii="Calibri" w:eastAsia="Calibri" w:hAnsi="Calibri" w:cs="Calibri"/>
                <w:b/>
                <w:bCs/>
                <w:sz w:val="20"/>
                <w:szCs w:val="20"/>
                <w:lang w:val="fr-FR"/>
              </w:rPr>
              <w:t xml:space="preserve"> offrant des services d’éducation</w:t>
            </w:r>
          </w:p>
        </w:tc>
        <w:tc>
          <w:tcPr>
            <w:tcW w:w="1701" w:type="dxa"/>
            <w:hideMark/>
          </w:tcPr>
          <w:p w14:paraId="45C28380" w14:textId="3A65B04B" w:rsidR="0039782D" w:rsidRPr="00890C2E" w:rsidRDefault="0039782D" w:rsidP="0039782D">
            <w:pPr>
              <w:rPr>
                <w:lang w:val="en-GB"/>
              </w:rPr>
            </w:pPr>
            <w:r>
              <w:rPr>
                <w:rFonts w:ascii="Calibri" w:eastAsia="Calibri" w:hAnsi="Calibri" w:cs="Calibri"/>
                <w:sz w:val="20"/>
                <w:szCs w:val="20"/>
                <w:lang w:val="en-GB"/>
              </w:rPr>
              <w:t xml:space="preserve">NFE dans </w:t>
            </w:r>
            <w:r w:rsidRPr="00890C2E">
              <w:rPr>
                <w:rFonts w:ascii="Calibri" w:eastAsia="Calibri" w:hAnsi="Calibri" w:cs="Calibri"/>
                <w:sz w:val="20"/>
                <w:szCs w:val="20"/>
                <w:lang w:val="en-GB"/>
              </w:rPr>
              <w:t>CFS</w:t>
            </w:r>
          </w:p>
        </w:tc>
        <w:tc>
          <w:tcPr>
            <w:tcW w:w="7654" w:type="dxa"/>
            <w:hideMark/>
          </w:tcPr>
          <w:p w14:paraId="6C75D455" w14:textId="5CA777E0" w:rsidR="0039782D" w:rsidRPr="0039782D" w:rsidRDefault="0039782D" w:rsidP="0039782D">
            <w:pPr>
              <w:pStyle w:val="ListParagraph"/>
              <w:numPr>
                <w:ilvl w:val="0"/>
                <w:numId w:val="26"/>
              </w:numPr>
              <w:rPr>
                <w:sz w:val="20"/>
                <w:szCs w:val="20"/>
                <w:lang w:val="fr-FR"/>
              </w:rPr>
            </w:pPr>
            <w:r>
              <w:rPr>
                <w:sz w:val="20"/>
                <w:szCs w:val="20"/>
                <w:lang w:val="fr-FR"/>
              </w:rPr>
              <w:t>Accord clair sur la personne</w:t>
            </w:r>
            <w:r w:rsidRPr="0039782D">
              <w:rPr>
                <w:sz w:val="20"/>
                <w:szCs w:val="20"/>
                <w:lang w:val="fr-FR"/>
              </w:rPr>
              <w:t xml:space="preserve"> qui doit s’assurer qu’au</w:t>
            </w:r>
            <w:r>
              <w:rPr>
                <w:sz w:val="20"/>
                <w:szCs w:val="20"/>
                <w:lang w:val="fr-FR"/>
              </w:rPr>
              <w:t>cun enfant n’est oublié</w:t>
            </w:r>
            <w:r w:rsidRPr="0039782D">
              <w:rPr>
                <w:sz w:val="20"/>
                <w:szCs w:val="20"/>
                <w:lang w:val="fr-FR"/>
              </w:rPr>
              <w:t xml:space="preserve"> ou ciblé deux fois </w:t>
            </w:r>
          </w:p>
          <w:p w14:paraId="7F5FC101" w14:textId="151E61D9" w:rsidR="0039782D" w:rsidRPr="0039782D" w:rsidRDefault="0039782D" w:rsidP="0039782D">
            <w:pPr>
              <w:pStyle w:val="ListParagraph"/>
              <w:numPr>
                <w:ilvl w:val="0"/>
                <w:numId w:val="26"/>
              </w:numPr>
              <w:rPr>
                <w:sz w:val="20"/>
                <w:szCs w:val="20"/>
                <w:lang w:val="fr-FR"/>
              </w:rPr>
            </w:pPr>
            <w:r w:rsidRPr="0039782D">
              <w:rPr>
                <w:sz w:val="20"/>
                <w:szCs w:val="20"/>
                <w:lang w:val="fr-FR"/>
              </w:rPr>
              <w:t xml:space="preserve"> Entente de renforcement des</w:t>
            </w:r>
            <w:r>
              <w:rPr>
                <w:sz w:val="20"/>
                <w:szCs w:val="20"/>
                <w:lang w:val="fr-FR"/>
              </w:rPr>
              <w:t xml:space="preserve"> capacités et voies de référence</w:t>
            </w:r>
            <w:r w:rsidRPr="0039782D">
              <w:rPr>
                <w:sz w:val="20"/>
                <w:szCs w:val="20"/>
                <w:lang w:val="fr-FR"/>
              </w:rPr>
              <w:t xml:space="preserve"> en place</w:t>
            </w:r>
          </w:p>
          <w:p w14:paraId="7A7C36FD" w14:textId="499C8591" w:rsidR="0039782D" w:rsidRPr="0039782D" w:rsidRDefault="0039782D" w:rsidP="0039782D">
            <w:pPr>
              <w:pStyle w:val="ListParagraph"/>
              <w:numPr>
                <w:ilvl w:val="0"/>
                <w:numId w:val="26"/>
              </w:numPr>
              <w:rPr>
                <w:rFonts w:eastAsiaTheme="minorEastAsia"/>
                <w:sz w:val="20"/>
                <w:szCs w:val="20"/>
                <w:lang w:val="fr-FR"/>
              </w:rPr>
            </w:pPr>
            <w:r w:rsidRPr="0039782D">
              <w:rPr>
                <w:sz w:val="20"/>
                <w:szCs w:val="20"/>
                <w:lang w:val="fr-FR"/>
              </w:rPr>
              <w:t>Veiller à ce que l’approche ait un objectif clair et vise à permettre la transition vers l’éducation formelle ou</w:t>
            </w:r>
            <w:r>
              <w:rPr>
                <w:sz w:val="20"/>
                <w:szCs w:val="20"/>
                <w:lang w:val="fr-FR"/>
              </w:rPr>
              <w:t>,</w:t>
            </w:r>
            <w:r w:rsidRPr="0039782D">
              <w:rPr>
                <w:sz w:val="20"/>
                <w:szCs w:val="20"/>
                <w:lang w:val="fr-FR"/>
              </w:rPr>
              <w:t xml:space="preserve"> pour les jeunes, des possibilités de subsistance sûres.</w:t>
            </w:r>
            <w:r>
              <w:rPr>
                <w:sz w:val="20"/>
                <w:szCs w:val="20"/>
                <w:lang w:val="fr-FR"/>
              </w:rPr>
              <w:t xml:space="preserve">  </w:t>
            </w:r>
          </w:p>
        </w:tc>
      </w:tr>
      <w:tr w:rsidR="0039782D" w:rsidRPr="00756E98" w14:paraId="541986E3" w14:textId="77777777" w:rsidTr="003D72FC">
        <w:tc>
          <w:tcPr>
            <w:tcW w:w="1418" w:type="dxa"/>
            <w:hideMark/>
          </w:tcPr>
          <w:p w14:paraId="32A289E0" w14:textId="4C7B134E" w:rsidR="0039782D" w:rsidRPr="0039782D" w:rsidRDefault="0039782D" w:rsidP="0039782D">
            <w:pPr>
              <w:rPr>
                <w:b/>
                <w:bCs/>
                <w:lang w:val="fr-FR"/>
              </w:rPr>
            </w:pPr>
            <w:r w:rsidRPr="0039782D">
              <w:rPr>
                <w:rFonts w:ascii="Calibri" w:eastAsia="Calibri" w:hAnsi="Calibri" w:cs="Calibri"/>
                <w:b/>
                <w:bCs/>
                <w:sz w:val="20"/>
                <w:szCs w:val="20"/>
                <w:lang w:val="fr-FR"/>
              </w:rPr>
              <w:t xml:space="preserve">Éducation offrant des services de </w:t>
            </w:r>
            <w:r w:rsidR="007E21CD">
              <w:rPr>
                <w:rFonts w:ascii="Calibri" w:eastAsia="Calibri" w:hAnsi="Calibri" w:cs="Calibri"/>
                <w:b/>
                <w:bCs/>
                <w:sz w:val="20"/>
                <w:szCs w:val="20"/>
                <w:lang w:val="fr-FR"/>
              </w:rPr>
              <w:t>PE</w:t>
            </w:r>
          </w:p>
        </w:tc>
        <w:tc>
          <w:tcPr>
            <w:tcW w:w="1701" w:type="dxa"/>
            <w:hideMark/>
          </w:tcPr>
          <w:p w14:paraId="209022A7" w14:textId="56608F01" w:rsidR="0039782D" w:rsidRPr="00890C2E" w:rsidRDefault="0039782D" w:rsidP="0039782D">
            <w:pPr>
              <w:rPr>
                <w:lang w:val="en-GB"/>
              </w:rPr>
            </w:pPr>
            <w:proofErr w:type="spellStart"/>
            <w:r>
              <w:rPr>
                <w:rFonts w:ascii="Calibri" w:eastAsia="Calibri" w:hAnsi="Calibri" w:cs="Calibri"/>
                <w:sz w:val="20"/>
                <w:szCs w:val="20"/>
                <w:lang w:val="en-GB"/>
              </w:rPr>
              <w:t>Activités</w:t>
            </w:r>
            <w:proofErr w:type="spellEnd"/>
            <w:r>
              <w:rPr>
                <w:rFonts w:ascii="Calibri" w:eastAsia="Calibri" w:hAnsi="Calibri" w:cs="Calibri"/>
                <w:sz w:val="20"/>
                <w:szCs w:val="20"/>
                <w:lang w:val="en-GB"/>
              </w:rPr>
              <w:t xml:space="preserve"> du MHPSS </w:t>
            </w:r>
          </w:p>
        </w:tc>
        <w:tc>
          <w:tcPr>
            <w:tcW w:w="7654" w:type="dxa"/>
            <w:hideMark/>
          </w:tcPr>
          <w:p w14:paraId="4CCECEF4" w14:textId="3246A63A" w:rsidR="0039782D" w:rsidRPr="0039782D" w:rsidRDefault="0039782D" w:rsidP="0039782D">
            <w:pPr>
              <w:pStyle w:val="ListParagraph"/>
              <w:numPr>
                <w:ilvl w:val="0"/>
                <w:numId w:val="26"/>
              </w:numPr>
              <w:rPr>
                <w:sz w:val="20"/>
                <w:szCs w:val="20"/>
                <w:lang w:val="fr-FR"/>
              </w:rPr>
            </w:pPr>
            <w:r w:rsidRPr="0039782D">
              <w:rPr>
                <w:sz w:val="20"/>
                <w:szCs w:val="20"/>
                <w:lang w:val="fr-FR"/>
              </w:rPr>
              <w:t xml:space="preserve"> Entente claire sur les personnes qui fournissent ce qui doit s’assurer qu’aucun enfant n’est laissé pour compte (p. ex. enfants non scolarisés) ou ciblé deux fois (p. ex. à l’école ou pendant le temps scolaire et dans la collectivité après l’école).</w:t>
            </w:r>
          </w:p>
          <w:p w14:paraId="34E6467A" w14:textId="5D25082B" w:rsidR="0039782D" w:rsidRPr="0039782D" w:rsidRDefault="0039782D" w:rsidP="0039782D">
            <w:pPr>
              <w:pStyle w:val="ListParagraph"/>
              <w:numPr>
                <w:ilvl w:val="0"/>
                <w:numId w:val="26"/>
              </w:numPr>
              <w:rPr>
                <w:sz w:val="20"/>
                <w:szCs w:val="20"/>
                <w:lang w:val="fr-FR"/>
              </w:rPr>
            </w:pPr>
            <w:r w:rsidRPr="0039782D">
              <w:rPr>
                <w:sz w:val="20"/>
                <w:szCs w:val="20"/>
                <w:lang w:val="fr-FR"/>
              </w:rPr>
              <w:t>Entente de renforcement des</w:t>
            </w:r>
            <w:r>
              <w:rPr>
                <w:sz w:val="20"/>
                <w:szCs w:val="20"/>
                <w:lang w:val="fr-FR"/>
              </w:rPr>
              <w:t xml:space="preserve"> capacités et voies de </w:t>
            </w:r>
            <w:r w:rsidR="00633B3F">
              <w:rPr>
                <w:sz w:val="20"/>
                <w:szCs w:val="20"/>
                <w:lang w:val="fr-FR"/>
              </w:rPr>
              <w:t xml:space="preserve">référence </w:t>
            </w:r>
            <w:r w:rsidR="00633B3F" w:rsidRPr="0039782D">
              <w:rPr>
                <w:sz w:val="20"/>
                <w:szCs w:val="20"/>
                <w:lang w:val="fr-FR"/>
              </w:rPr>
              <w:t>en</w:t>
            </w:r>
            <w:r w:rsidRPr="0039782D">
              <w:rPr>
                <w:sz w:val="20"/>
                <w:szCs w:val="20"/>
                <w:lang w:val="fr-FR"/>
              </w:rPr>
              <w:t xml:space="preserve"> place</w:t>
            </w:r>
          </w:p>
          <w:p w14:paraId="1B096FFA" w14:textId="2F283141" w:rsidR="0039782D" w:rsidRPr="00633B3F" w:rsidRDefault="0039782D" w:rsidP="00633B3F">
            <w:pPr>
              <w:pStyle w:val="ListParagraph"/>
              <w:numPr>
                <w:ilvl w:val="0"/>
                <w:numId w:val="26"/>
              </w:numPr>
              <w:rPr>
                <w:rFonts w:eastAsiaTheme="minorEastAsia"/>
                <w:sz w:val="20"/>
                <w:szCs w:val="20"/>
                <w:lang w:val="fr-FR"/>
              </w:rPr>
            </w:pPr>
            <w:r w:rsidRPr="00633B3F">
              <w:rPr>
                <w:sz w:val="20"/>
                <w:szCs w:val="20"/>
                <w:lang w:val="fr-FR"/>
              </w:rPr>
              <w:t xml:space="preserve"> Veiller à ce que des services spécialisés soient fournis par une agence spécialisée du </w:t>
            </w:r>
            <w:r w:rsidR="007E21CD">
              <w:rPr>
                <w:sz w:val="20"/>
                <w:szCs w:val="20"/>
                <w:lang w:val="fr-FR"/>
              </w:rPr>
              <w:t>PE</w:t>
            </w:r>
            <w:r w:rsidRPr="00633B3F">
              <w:rPr>
                <w:sz w:val="20"/>
                <w:szCs w:val="20"/>
                <w:lang w:val="fr-FR"/>
              </w:rPr>
              <w:t xml:space="preserve"> (par exemple, la gestion des cas ou la PSS </w:t>
            </w:r>
            <w:proofErr w:type="gramStart"/>
            <w:r w:rsidRPr="00633B3F">
              <w:rPr>
                <w:sz w:val="20"/>
                <w:szCs w:val="20"/>
                <w:lang w:val="fr-FR"/>
              </w:rPr>
              <w:t xml:space="preserve">structurée)   </w:t>
            </w:r>
            <w:proofErr w:type="gramEnd"/>
            <w:r w:rsidRPr="00633B3F">
              <w:rPr>
                <w:sz w:val="20"/>
                <w:szCs w:val="20"/>
                <w:lang w:val="fr-FR"/>
              </w:rPr>
              <w:t xml:space="preserve">                               </w:t>
            </w:r>
          </w:p>
        </w:tc>
      </w:tr>
    </w:tbl>
    <w:p w14:paraId="72588DBA" w14:textId="77777777" w:rsidR="00080CB7" w:rsidRPr="00633B3F" w:rsidRDefault="00080CB7" w:rsidP="00080CB7">
      <w:pPr>
        <w:jc w:val="both"/>
        <w:rPr>
          <w:rFonts w:ascii="Calibri" w:eastAsia="Calibri" w:hAnsi="Calibri" w:cs="Calibri"/>
          <w:b/>
          <w:bCs/>
          <w:lang w:val="fr-FR"/>
        </w:rPr>
      </w:pPr>
    </w:p>
    <w:p w14:paraId="4A41FB8D" w14:textId="091038F8" w:rsidR="00080CB7" w:rsidRPr="00633B3F" w:rsidRDefault="00633B3F" w:rsidP="00756E98">
      <w:pPr>
        <w:spacing w:after="0"/>
        <w:jc w:val="both"/>
        <w:rPr>
          <w:lang w:val="fr-FR"/>
        </w:rPr>
      </w:pPr>
      <w:r w:rsidRPr="00633B3F">
        <w:rPr>
          <w:rFonts w:ascii="Calibri" w:eastAsia="Calibri" w:hAnsi="Calibri" w:cs="Calibri"/>
          <w:b/>
          <w:bCs/>
          <w:lang w:val="fr-FR"/>
        </w:rPr>
        <w:t>Pour tous les types de centres, n’oubliez pas qu’ils doivent faire l’objet d’un suivi régulier. La surveillance est essentielle pour :</w:t>
      </w:r>
    </w:p>
    <w:p w14:paraId="384369A7" w14:textId="4CCE2C6E" w:rsidR="00633B3F" w:rsidRPr="00633B3F" w:rsidRDefault="00633B3F" w:rsidP="00633B3F">
      <w:pPr>
        <w:pStyle w:val="ListParagraph"/>
        <w:numPr>
          <w:ilvl w:val="0"/>
          <w:numId w:val="27"/>
        </w:numPr>
        <w:spacing w:line="256" w:lineRule="auto"/>
        <w:jc w:val="both"/>
        <w:rPr>
          <w:rFonts w:ascii="Calibri" w:eastAsia="Calibri" w:hAnsi="Calibri" w:cs="Calibri"/>
          <w:lang w:val="fr-FR"/>
        </w:rPr>
      </w:pPr>
      <w:r w:rsidRPr="00633B3F">
        <w:rPr>
          <w:rFonts w:ascii="Calibri" w:eastAsia="Calibri" w:hAnsi="Calibri" w:cs="Calibri"/>
          <w:lang w:val="fr-FR"/>
        </w:rPr>
        <w:t>Assurer la qualité de la prestation des services</w:t>
      </w:r>
    </w:p>
    <w:p w14:paraId="0D38FE3E" w14:textId="36C541C3" w:rsidR="00633B3F" w:rsidRPr="00633B3F" w:rsidRDefault="00633B3F" w:rsidP="00633B3F">
      <w:pPr>
        <w:pStyle w:val="ListParagraph"/>
        <w:numPr>
          <w:ilvl w:val="0"/>
          <w:numId w:val="27"/>
        </w:numPr>
        <w:spacing w:line="256" w:lineRule="auto"/>
        <w:jc w:val="both"/>
        <w:rPr>
          <w:rFonts w:ascii="Calibri" w:eastAsia="Calibri" w:hAnsi="Calibri" w:cs="Calibri"/>
          <w:lang w:val="fr-FR"/>
        </w:rPr>
      </w:pPr>
      <w:r w:rsidRPr="00633B3F">
        <w:rPr>
          <w:rFonts w:ascii="Calibri" w:eastAsia="Calibri" w:hAnsi="Calibri" w:cs="Calibri"/>
          <w:lang w:val="fr-FR"/>
        </w:rPr>
        <w:t xml:space="preserve"> Assurer la prestation d’un traite</w:t>
      </w:r>
      <w:r>
        <w:rPr>
          <w:rFonts w:ascii="Calibri" w:eastAsia="Calibri" w:hAnsi="Calibri" w:cs="Calibri"/>
          <w:lang w:val="fr-FR"/>
        </w:rPr>
        <w:t>ment non-discriminatoire, confidentiel, sûr, équitable, inclusif et digne</w:t>
      </w:r>
    </w:p>
    <w:p w14:paraId="5E7E4A71" w14:textId="07F41129" w:rsidR="00633B3F" w:rsidRPr="00633B3F" w:rsidRDefault="00633B3F" w:rsidP="00633B3F">
      <w:pPr>
        <w:pStyle w:val="ListParagraph"/>
        <w:numPr>
          <w:ilvl w:val="0"/>
          <w:numId w:val="27"/>
        </w:numPr>
        <w:spacing w:line="256" w:lineRule="auto"/>
        <w:jc w:val="both"/>
        <w:rPr>
          <w:rFonts w:ascii="Calibri" w:eastAsia="Calibri" w:hAnsi="Calibri" w:cs="Calibri"/>
          <w:lang w:val="fr-FR"/>
        </w:rPr>
      </w:pPr>
      <w:r w:rsidRPr="00633B3F">
        <w:rPr>
          <w:rFonts w:ascii="Calibri" w:eastAsia="Calibri" w:hAnsi="Calibri" w:cs="Calibri"/>
          <w:lang w:val="fr-FR"/>
        </w:rPr>
        <w:t>Suivre l’évolution de la situation, cerner les lacunes et prendre des mesures correctives pour y remédier, y compris les gouvernora</w:t>
      </w:r>
      <w:r>
        <w:rPr>
          <w:rFonts w:ascii="Calibri" w:eastAsia="Calibri" w:hAnsi="Calibri" w:cs="Calibri"/>
          <w:lang w:val="fr-FR"/>
        </w:rPr>
        <w:t xml:space="preserve">ts et les plaidoyers </w:t>
      </w:r>
      <w:r w:rsidRPr="00633B3F">
        <w:rPr>
          <w:rFonts w:ascii="Calibri" w:eastAsia="Calibri" w:hAnsi="Calibri" w:cs="Calibri"/>
          <w:lang w:val="fr-FR"/>
        </w:rPr>
        <w:t xml:space="preserve">au niveau national </w:t>
      </w:r>
    </w:p>
    <w:p w14:paraId="11349FCC" w14:textId="2CCD7F22" w:rsidR="00080CB7" w:rsidRPr="00BA5E0A" w:rsidRDefault="00633B3F" w:rsidP="00080CB7">
      <w:pPr>
        <w:pStyle w:val="ListParagraph"/>
        <w:numPr>
          <w:ilvl w:val="0"/>
          <w:numId w:val="27"/>
        </w:numPr>
        <w:spacing w:line="256" w:lineRule="auto"/>
        <w:jc w:val="both"/>
        <w:rPr>
          <w:b/>
          <w:color w:val="800040"/>
          <w:lang w:val="fr-FR"/>
        </w:rPr>
      </w:pPr>
      <w:r w:rsidRPr="00633B3F">
        <w:rPr>
          <w:rFonts w:ascii="Calibri" w:eastAsia="Calibri" w:hAnsi="Calibri" w:cs="Calibri"/>
          <w:lang w:val="fr-FR"/>
        </w:rPr>
        <w:t>Évaluer l’impact, assurer la responsabilisation et promouvoir une participation significative</w:t>
      </w:r>
      <w:r>
        <w:rPr>
          <w:rFonts w:ascii="Calibri" w:eastAsia="Calibri" w:hAnsi="Calibri" w:cs="Calibri"/>
          <w:lang w:val="fr-FR"/>
        </w:rPr>
        <w:t xml:space="preserve"> </w:t>
      </w:r>
    </w:p>
    <w:p w14:paraId="2AE300B8" w14:textId="73F870D7" w:rsidR="00080CB7" w:rsidRPr="00DA047D" w:rsidRDefault="00080CB7" w:rsidP="00080CB7">
      <w:pPr>
        <w:ind w:right="-89"/>
        <w:rPr>
          <w:rFonts w:ascii="Calibri" w:eastAsia="Calibri" w:hAnsi="Calibri" w:cs="Times New Roman"/>
          <w:b/>
          <w:color w:val="EB3741"/>
          <w:sz w:val="20"/>
          <w:szCs w:val="20"/>
          <w:lang w:val="fr-FR"/>
        </w:rPr>
      </w:pPr>
      <w:bookmarkStart w:id="2" w:name="Annex12"/>
      <w:r w:rsidRPr="00DA047D">
        <w:rPr>
          <w:b/>
          <w:color w:val="EB3741"/>
          <w:lang w:val="fr-FR"/>
        </w:rPr>
        <w:lastRenderedPageBreak/>
        <w:t>Annex</w:t>
      </w:r>
      <w:r w:rsidR="00BA5E0A" w:rsidRPr="00DA047D">
        <w:rPr>
          <w:b/>
          <w:color w:val="EB3741"/>
          <w:lang w:val="fr-FR"/>
        </w:rPr>
        <w:t>e</w:t>
      </w:r>
      <w:r w:rsidRPr="00DA047D">
        <w:rPr>
          <w:b/>
          <w:color w:val="EB3741"/>
          <w:lang w:val="fr-FR"/>
        </w:rPr>
        <w:t xml:space="preserve"> 1</w:t>
      </w:r>
      <w:r w:rsidR="00BE2A9E" w:rsidRPr="00DA047D">
        <w:rPr>
          <w:b/>
          <w:color w:val="EB3741"/>
          <w:lang w:val="fr-FR"/>
        </w:rPr>
        <w:t>2</w:t>
      </w:r>
      <w:r w:rsidR="00BA5E0A" w:rsidRPr="00DA047D">
        <w:rPr>
          <w:b/>
          <w:color w:val="EB3741"/>
          <w:lang w:val="fr-FR"/>
        </w:rPr>
        <w:t xml:space="preserve"> </w:t>
      </w:r>
      <w:r w:rsidRPr="00DA047D">
        <w:rPr>
          <w:b/>
          <w:color w:val="EB3741"/>
          <w:lang w:val="fr-FR"/>
        </w:rPr>
        <w:t xml:space="preserve">: </w:t>
      </w:r>
      <w:bookmarkEnd w:id="2"/>
      <w:r w:rsidR="00DA047D" w:rsidRPr="00DA047D">
        <w:rPr>
          <w:b/>
          <w:color w:val="EB3741"/>
          <w:lang w:val="fr-FR"/>
        </w:rPr>
        <w:t xml:space="preserve">Exemples pour les activités minimales d’intégration /intégration du secteur </w:t>
      </w:r>
    </w:p>
    <w:p w14:paraId="619F61BE" w14:textId="09F21BEF" w:rsidR="00080CB7" w:rsidRPr="007E21CD" w:rsidRDefault="00DA047D" w:rsidP="00080CB7">
      <w:pPr>
        <w:spacing w:before="80" w:after="80"/>
        <w:rPr>
          <w:rFonts w:ascii="Calibri" w:eastAsia="Times New Roman" w:hAnsi="Calibri" w:cs="Times New Roman"/>
          <w:color w:val="000000"/>
          <w:lang w:val="fr-FR"/>
        </w:rPr>
      </w:pPr>
      <w:r w:rsidRPr="00DA047D">
        <w:rPr>
          <w:rFonts w:ascii="Calibri" w:eastAsia="Times New Roman" w:hAnsi="Calibri" w:cs="Times New Roman"/>
          <w:b/>
          <w:bCs/>
          <w:color w:val="000000"/>
          <w:lang w:val="fr-FR"/>
        </w:rPr>
        <w:t xml:space="preserve">Afin de renforcer l’intégration de la mise en œuvre, les secteurs du </w:t>
      </w:r>
      <w:r w:rsidR="007E21CD">
        <w:rPr>
          <w:rFonts w:ascii="Calibri" w:eastAsia="Times New Roman" w:hAnsi="Calibri" w:cs="Times New Roman"/>
          <w:b/>
          <w:bCs/>
          <w:color w:val="000000"/>
          <w:lang w:val="fr-FR"/>
        </w:rPr>
        <w:t>PE</w:t>
      </w:r>
      <w:r w:rsidRPr="00DA047D">
        <w:rPr>
          <w:rFonts w:ascii="Calibri" w:eastAsia="Times New Roman" w:hAnsi="Calibri" w:cs="Times New Roman"/>
          <w:b/>
          <w:bCs/>
          <w:color w:val="000000"/>
          <w:lang w:val="fr-FR"/>
        </w:rPr>
        <w:t xml:space="preserve"> et de l’Éducation peuvent fixer des exigences minimales pour l’intégration ou l’intégration des activités dans chaque secteur. </w:t>
      </w:r>
      <w:r w:rsidRPr="00DA047D">
        <w:rPr>
          <w:rFonts w:ascii="Calibri" w:eastAsia="Times New Roman" w:hAnsi="Calibri" w:cs="Times New Roman"/>
          <w:bCs/>
          <w:color w:val="000000"/>
          <w:lang w:val="fr-FR"/>
        </w:rPr>
        <w:t xml:space="preserve">Cela signifie que lorsqu’un secteur met en œuvre ses propres activités, ils incluent les activités complémentaires requises de l’autre secteur pour renforcer les objectifs collectifs.            </w:t>
      </w:r>
    </w:p>
    <w:p w14:paraId="3A759A21" w14:textId="77777777" w:rsidR="00080CB7" w:rsidRPr="007E21CD" w:rsidRDefault="00080CB7" w:rsidP="00FA2835">
      <w:pPr>
        <w:spacing w:after="0"/>
        <w:ind w:right="-89"/>
        <w:rPr>
          <w:color w:val="800040"/>
          <w:lang w:val="fr-FR"/>
        </w:rPr>
      </w:pPr>
    </w:p>
    <w:p w14:paraId="4CA6B13D" w14:textId="62F19026" w:rsidR="00080CB7" w:rsidRPr="00DA047D" w:rsidRDefault="00DA047D" w:rsidP="00080CB7">
      <w:pPr>
        <w:spacing w:after="0"/>
        <w:ind w:right="-89"/>
        <w:rPr>
          <w:color w:val="EB3741"/>
          <w:lang w:val="fr-FR"/>
        </w:rPr>
      </w:pPr>
      <w:r w:rsidRPr="00DA047D">
        <w:rPr>
          <w:color w:val="EB3741"/>
          <w:lang w:val="fr-FR"/>
        </w:rPr>
        <w:t xml:space="preserve">Exemple d’exigences minimales en </w:t>
      </w:r>
      <w:r w:rsidR="007E21CD">
        <w:rPr>
          <w:color w:val="EB3741"/>
          <w:lang w:val="fr-FR"/>
        </w:rPr>
        <w:t>PE</w:t>
      </w:r>
      <w:r w:rsidRPr="00DA047D">
        <w:rPr>
          <w:color w:val="EB3741"/>
          <w:lang w:val="fr-FR"/>
        </w:rPr>
        <w:t xml:space="preserve"> :</w:t>
      </w:r>
    </w:p>
    <w:p w14:paraId="3CA6F4E5" w14:textId="3F36282D" w:rsidR="00DA047D" w:rsidRPr="00DA047D" w:rsidRDefault="00DA047D" w:rsidP="00DA047D">
      <w:pPr>
        <w:pStyle w:val="ListParagraph"/>
        <w:numPr>
          <w:ilvl w:val="0"/>
          <w:numId w:val="31"/>
        </w:numPr>
        <w:spacing w:before="80" w:after="80"/>
        <w:rPr>
          <w:rFonts w:ascii="Calibri" w:eastAsia="Times New Roman" w:hAnsi="Calibri" w:cs="Times New Roman"/>
          <w:color w:val="000000"/>
          <w:lang w:val="fr-FR"/>
        </w:rPr>
      </w:pPr>
      <w:r w:rsidRPr="00DA047D">
        <w:rPr>
          <w:rFonts w:ascii="Calibri" w:eastAsia="Times New Roman" w:hAnsi="Calibri" w:cs="Times New Roman"/>
          <w:color w:val="000000"/>
          <w:lang w:val="fr-FR"/>
        </w:rPr>
        <w:t xml:space="preserve"> Tous les formulaires d’admission et de planification des cas pour inclure des questions sur le statut de l’éducation et la réintégration dans l’éducation</w:t>
      </w:r>
    </w:p>
    <w:p w14:paraId="6C0DD014" w14:textId="2C18D11A" w:rsidR="00DA047D" w:rsidRPr="00DA047D" w:rsidRDefault="00DA047D" w:rsidP="00DA047D">
      <w:pPr>
        <w:pStyle w:val="ListParagraph"/>
        <w:numPr>
          <w:ilvl w:val="0"/>
          <w:numId w:val="31"/>
        </w:numPr>
        <w:spacing w:before="80" w:after="80"/>
        <w:rPr>
          <w:rFonts w:ascii="Calibri" w:eastAsia="Times New Roman" w:hAnsi="Calibri" w:cs="Times New Roman"/>
          <w:color w:val="000000"/>
          <w:lang w:val="fr-FR"/>
        </w:rPr>
      </w:pPr>
      <w:r w:rsidRPr="00DA047D">
        <w:rPr>
          <w:rFonts w:ascii="Calibri" w:eastAsia="Times New Roman" w:hAnsi="Calibri" w:cs="Times New Roman"/>
          <w:color w:val="000000"/>
          <w:lang w:val="fr-FR"/>
        </w:rPr>
        <w:t xml:space="preserve">Interventions du </w:t>
      </w:r>
      <w:r w:rsidR="007E21CD">
        <w:rPr>
          <w:rFonts w:ascii="Calibri" w:eastAsia="Times New Roman" w:hAnsi="Calibri" w:cs="Times New Roman"/>
          <w:color w:val="000000"/>
          <w:lang w:val="fr-FR"/>
        </w:rPr>
        <w:t>PE</w:t>
      </w:r>
      <w:r w:rsidRPr="00DA047D">
        <w:rPr>
          <w:rFonts w:ascii="Calibri" w:eastAsia="Times New Roman" w:hAnsi="Calibri" w:cs="Times New Roman"/>
          <w:color w:val="000000"/>
          <w:lang w:val="fr-FR"/>
        </w:rPr>
        <w:t xml:space="preserve"> pour envisager et appuyer la réinsertion scolaire ou une autre option d’éducation</w:t>
      </w:r>
    </w:p>
    <w:p w14:paraId="68F475C4" w14:textId="54BFB35F" w:rsidR="00DA047D" w:rsidRPr="00DA047D" w:rsidRDefault="00DA047D" w:rsidP="00DA047D">
      <w:pPr>
        <w:pStyle w:val="ListParagraph"/>
        <w:numPr>
          <w:ilvl w:val="0"/>
          <w:numId w:val="31"/>
        </w:numPr>
        <w:spacing w:before="80" w:after="80"/>
        <w:rPr>
          <w:rFonts w:ascii="Calibri" w:eastAsia="Times New Roman" w:hAnsi="Calibri" w:cs="Times New Roman"/>
          <w:color w:val="000000"/>
          <w:lang w:val="fr-FR"/>
        </w:rPr>
      </w:pPr>
      <w:r w:rsidRPr="00DA047D">
        <w:rPr>
          <w:rFonts w:ascii="Calibri" w:eastAsia="Times New Roman" w:hAnsi="Calibri" w:cs="Times New Roman"/>
          <w:color w:val="000000"/>
          <w:lang w:val="fr-FR"/>
        </w:rPr>
        <w:t xml:space="preserve">L’information sur les enfants non scolarisés devrait être régulièrement partagée avec les partenaires de l’éducation et le secteur </w:t>
      </w:r>
    </w:p>
    <w:p w14:paraId="0556CCA1" w14:textId="4A78FEE9" w:rsidR="00DA047D" w:rsidRPr="00DA047D" w:rsidRDefault="00DA047D" w:rsidP="00DA047D">
      <w:pPr>
        <w:pStyle w:val="ListParagraph"/>
        <w:numPr>
          <w:ilvl w:val="0"/>
          <w:numId w:val="31"/>
        </w:numPr>
        <w:spacing w:before="80" w:after="80"/>
        <w:rPr>
          <w:rFonts w:ascii="Calibri" w:eastAsia="Times New Roman" w:hAnsi="Calibri" w:cs="Times New Roman"/>
          <w:color w:val="000000"/>
          <w:lang w:val="fr-FR"/>
        </w:rPr>
      </w:pPr>
      <w:r w:rsidRPr="00DA047D">
        <w:rPr>
          <w:rFonts w:ascii="Calibri" w:eastAsia="Times New Roman" w:hAnsi="Calibri" w:cs="Times New Roman"/>
          <w:color w:val="000000"/>
          <w:lang w:val="fr-FR"/>
        </w:rPr>
        <w:t xml:space="preserve">Les activités d’éducation informelle mises en œuvre par les acteurs du </w:t>
      </w:r>
      <w:r w:rsidR="007E21CD">
        <w:rPr>
          <w:rFonts w:ascii="Calibri" w:eastAsia="Times New Roman" w:hAnsi="Calibri" w:cs="Times New Roman"/>
          <w:color w:val="000000"/>
          <w:lang w:val="fr-FR"/>
        </w:rPr>
        <w:t>PE</w:t>
      </w:r>
      <w:r w:rsidRPr="00DA047D">
        <w:rPr>
          <w:rFonts w:ascii="Calibri" w:eastAsia="Times New Roman" w:hAnsi="Calibri" w:cs="Times New Roman"/>
          <w:color w:val="000000"/>
          <w:lang w:val="fr-FR"/>
        </w:rPr>
        <w:t>, y compris les</w:t>
      </w:r>
      <w:r>
        <w:rPr>
          <w:rFonts w:ascii="Calibri" w:eastAsia="Times New Roman" w:hAnsi="Calibri" w:cs="Times New Roman"/>
          <w:color w:val="000000"/>
          <w:lang w:val="fr-FR"/>
        </w:rPr>
        <w:t xml:space="preserve"> activités de base pour l’alphabétisation et le calcul</w:t>
      </w:r>
      <w:r w:rsidRPr="00DA047D">
        <w:rPr>
          <w:rFonts w:ascii="Calibri" w:eastAsia="Times New Roman" w:hAnsi="Calibri" w:cs="Times New Roman"/>
          <w:color w:val="000000"/>
          <w:lang w:val="fr-FR"/>
        </w:rPr>
        <w:t>, devraient toujours viser à (re)intégrer dans l’éducation formelle et en consultation avec l’éducation</w:t>
      </w:r>
    </w:p>
    <w:p w14:paraId="6BDDB826" w14:textId="3CBF7A2D" w:rsidR="00080CB7" w:rsidRPr="007E21CD" w:rsidRDefault="00DA047D" w:rsidP="00F876F4">
      <w:pPr>
        <w:pStyle w:val="ListParagraph"/>
        <w:numPr>
          <w:ilvl w:val="0"/>
          <w:numId w:val="31"/>
        </w:numPr>
        <w:spacing w:before="80" w:after="80"/>
        <w:rPr>
          <w:color w:val="800040"/>
          <w:lang w:val="fr-FR"/>
        </w:rPr>
      </w:pPr>
      <w:r w:rsidRPr="00DA047D">
        <w:rPr>
          <w:rFonts w:ascii="Calibri" w:eastAsia="Times New Roman" w:hAnsi="Calibri" w:cs="Times New Roman"/>
          <w:color w:val="000000"/>
          <w:lang w:val="fr-FR"/>
        </w:rPr>
        <w:t>Le plaidoyer sur l’importance de l’école devrait faire partie des activités de sensibilisation</w:t>
      </w:r>
      <w:r>
        <w:rPr>
          <w:rFonts w:ascii="Calibri" w:eastAsia="Times New Roman" w:hAnsi="Calibri" w:cs="Times New Roman"/>
          <w:color w:val="000000"/>
          <w:lang w:val="fr-FR"/>
        </w:rPr>
        <w:t xml:space="preserve"> </w:t>
      </w:r>
      <w:r w:rsidR="00F876F4">
        <w:rPr>
          <w:rFonts w:ascii="Calibri" w:eastAsia="Times New Roman" w:hAnsi="Calibri" w:cs="Times New Roman"/>
          <w:color w:val="000000"/>
          <w:lang w:val="fr-FR"/>
        </w:rPr>
        <w:t xml:space="preserve">         </w:t>
      </w:r>
    </w:p>
    <w:p w14:paraId="33EE7075" w14:textId="6D066830" w:rsidR="00080CB7" w:rsidRPr="00F876F4" w:rsidRDefault="00F876F4" w:rsidP="00080CB7">
      <w:pPr>
        <w:spacing w:after="0"/>
        <w:ind w:right="-89"/>
        <w:rPr>
          <w:color w:val="EB3741"/>
          <w:lang w:val="fr-FR"/>
        </w:rPr>
      </w:pPr>
      <w:r w:rsidRPr="00F876F4">
        <w:rPr>
          <w:color w:val="EB3741"/>
          <w:lang w:val="fr-FR"/>
        </w:rPr>
        <w:t>Exemple d’exigences minimales en matière d’éducation :</w:t>
      </w:r>
    </w:p>
    <w:p w14:paraId="65AD86AC" w14:textId="29DBAEA5" w:rsidR="00F876F4" w:rsidRPr="00F876F4" w:rsidRDefault="00F876F4" w:rsidP="00F876F4">
      <w:pPr>
        <w:pStyle w:val="ListParagraph"/>
        <w:numPr>
          <w:ilvl w:val="0"/>
          <w:numId w:val="31"/>
        </w:numPr>
        <w:spacing w:before="80" w:after="80"/>
        <w:rPr>
          <w:rFonts w:ascii="Calibri" w:eastAsia="Times New Roman" w:hAnsi="Calibri" w:cs="Times New Roman"/>
          <w:color w:val="000000"/>
          <w:lang w:val="fr-FR"/>
        </w:rPr>
      </w:pPr>
      <w:r w:rsidRPr="00F876F4">
        <w:rPr>
          <w:rFonts w:ascii="Calibri" w:eastAsia="Times New Roman" w:hAnsi="Calibri" w:cs="Times New Roman"/>
          <w:color w:val="000000"/>
          <w:lang w:val="fr-FR"/>
        </w:rPr>
        <w:t xml:space="preserve"> Voies de </w:t>
      </w:r>
      <w:r w:rsidR="00880A76" w:rsidRPr="00F876F4">
        <w:rPr>
          <w:rFonts w:ascii="Calibri" w:eastAsia="Times New Roman" w:hAnsi="Calibri" w:cs="Times New Roman"/>
          <w:color w:val="000000"/>
          <w:lang w:val="fr-FR"/>
        </w:rPr>
        <w:t>référence</w:t>
      </w:r>
      <w:r w:rsidRPr="00F876F4">
        <w:rPr>
          <w:rFonts w:ascii="Calibri" w:eastAsia="Times New Roman" w:hAnsi="Calibri" w:cs="Times New Roman"/>
          <w:color w:val="000000"/>
          <w:lang w:val="fr-FR"/>
        </w:rPr>
        <w:t xml:space="preserve"> pour l’école</w:t>
      </w:r>
    </w:p>
    <w:p w14:paraId="4D147343" w14:textId="620B5DB9" w:rsidR="00F876F4" w:rsidRPr="00F876F4" w:rsidRDefault="00F876F4" w:rsidP="00F876F4">
      <w:pPr>
        <w:pStyle w:val="ListParagraph"/>
        <w:numPr>
          <w:ilvl w:val="0"/>
          <w:numId w:val="31"/>
        </w:numPr>
        <w:spacing w:before="80" w:after="80"/>
        <w:rPr>
          <w:rFonts w:ascii="Calibri" w:eastAsia="Times New Roman" w:hAnsi="Calibri" w:cs="Times New Roman"/>
          <w:color w:val="000000"/>
          <w:lang w:val="fr-FR"/>
        </w:rPr>
      </w:pPr>
      <w:r w:rsidRPr="00F876F4">
        <w:rPr>
          <w:rFonts w:ascii="Calibri" w:eastAsia="Times New Roman" w:hAnsi="Calibri" w:cs="Times New Roman"/>
          <w:color w:val="000000"/>
          <w:lang w:val="fr-FR"/>
        </w:rPr>
        <w:t xml:space="preserve"> Tous les enseignants formés sur les </w:t>
      </w:r>
      <w:r>
        <w:rPr>
          <w:rFonts w:ascii="Calibri" w:eastAsia="Times New Roman" w:hAnsi="Calibri" w:cs="Times New Roman"/>
          <w:color w:val="000000"/>
          <w:lang w:val="fr-FR"/>
        </w:rPr>
        <w:t xml:space="preserve">questions de base du </w:t>
      </w:r>
      <w:r w:rsidR="007E21CD">
        <w:rPr>
          <w:rFonts w:ascii="Calibri" w:eastAsia="Times New Roman" w:hAnsi="Calibri" w:cs="Times New Roman"/>
          <w:color w:val="000000"/>
          <w:lang w:val="fr-FR"/>
        </w:rPr>
        <w:t>PE</w:t>
      </w:r>
      <w:r>
        <w:rPr>
          <w:rFonts w:ascii="Calibri" w:eastAsia="Times New Roman" w:hAnsi="Calibri" w:cs="Times New Roman"/>
          <w:color w:val="000000"/>
          <w:lang w:val="fr-FR"/>
        </w:rPr>
        <w:t xml:space="preserve"> et du V</w:t>
      </w:r>
      <w:r w:rsidRPr="00F876F4">
        <w:rPr>
          <w:rFonts w:ascii="Calibri" w:eastAsia="Times New Roman" w:hAnsi="Calibri" w:cs="Times New Roman"/>
          <w:color w:val="000000"/>
          <w:lang w:val="fr-FR"/>
        </w:rPr>
        <w:t>B</w:t>
      </w:r>
      <w:r>
        <w:rPr>
          <w:rFonts w:ascii="Calibri" w:eastAsia="Times New Roman" w:hAnsi="Calibri" w:cs="Times New Roman"/>
          <w:color w:val="000000"/>
          <w:lang w:val="fr-FR"/>
        </w:rPr>
        <w:t>G</w:t>
      </w:r>
      <w:r w:rsidRPr="00F876F4">
        <w:rPr>
          <w:rFonts w:ascii="Calibri" w:eastAsia="Times New Roman" w:hAnsi="Calibri" w:cs="Times New Roman"/>
          <w:color w:val="000000"/>
          <w:lang w:val="fr-FR"/>
        </w:rPr>
        <w:t xml:space="preserve">, les premiers soins psychologiques et </w:t>
      </w:r>
      <w:r>
        <w:rPr>
          <w:rFonts w:ascii="Calibri" w:eastAsia="Times New Roman" w:hAnsi="Calibri" w:cs="Times New Roman"/>
          <w:color w:val="000000"/>
          <w:lang w:val="fr-FR"/>
        </w:rPr>
        <w:t>l’identification et la référence</w:t>
      </w:r>
      <w:r w:rsidRPr="00F876F4">
        <w:rPr>
          <w:rFonts w:ascii="Calibri" w:eastAsia="Times New Roman" w:hAnsi="Calibri" w:cs="Times New Roman"/>
          <w:color w:val="000000"/>
          <w:lang w:val="fr-FR"/>
        </w:rPr>
        <w:t xml:space="preserve"> en toute sécurité </w:t>
      </w:r>
    </w:p>
    <w:p w14:paraId="2496B812" w14:textId="4520F142" w:rsidR="00F876F4" w:rsidRPr="00F876F4" w:rsidRDefault="00F876F4" w:rsidP="00F876F4">
      <w:pPr>
        <w:pStyle w:val="ListParagraph"/>
        <w:numPr>
          <w:ilvl w:val="0"/>
          <w:numId w:val="31"/>
        </w:numPr>
        <w:spacing w:before="80" w:after="80"/>
        <w:rPr>
          <w:rFonts w:ascii="Calibri" w:eastAsia="Times New Roman" w:hAnsi="Calibri" w:cs="Times New Roman"/>
          <w:color w:val="000000"/>
          <w:lang w:val="fr-FR"/>
        </w:rPr>
      </w:pPr>
      <w:r w:rsidRPr="00F876F4">
        <w:rPr>
          <w:rFonts w:ascii="Calibri" w:eastAsia="Times New Roman" w:hAnsi="Calibri" w:cs="Times New Roman"/>
          <w:color w:val="000000"/>
          <w:lang w:val="fr-FR"/>
        </w:rPr>
        <w:t xml:space="preserve"> Toutes les écoles organisent des réunions mensuel</w:t>
      </w:r>
      <w:r>
        <w:rPr>
          <w:rFonts w:ascii="Calibri" w:eastAsia="Times New Roman" w:hAnsi="Calibri" w:cs="Times New Roman"/>
          <w:color w:val="000000"/>
          <w:lang w:val="fr-FR"/>
        </w:rPr>
        <w:t xml:space="preserve">les entre les enseignants, les </w:t>
      </w:r>
      <w:r w:rsidRPr="00F876F4">
        <w:rPr>
          <w:rFonts w:ascii="Calibri" w:eastAsia="Times New Roman" w:hAnsi="Calibri" w:cs="Times New Roman"/>
          <w:color w:val="000000"/>
          <w:lang w:val="fr-FR"/>
        </w:rPr>
        <w:t>PT</w:t>
      </w:r>
      <w:r>
        <w:rPr>
          <w:rFonts w:ascii="Calibri" w:eastAsia="Times New Roman" w:hAnsi="Calibri" w:cs="Times New Roman"/>
          <w:color w:val="000000"/>
          <w:lang w:val="fr-FR"/>
        </w:rPr>
        <w:t>A</w:t>
      </w:r>
      <w:r w:rsidRPr="00F876F4">
        <w:rPr>
          <w:rFonts w:ascii="Calibri" w:eastAsia="Times New Roman" w:hAnsi="Calibri" w:cs="Times New Roman"/>
          <w:color w:val="000000"/>
          <w:lang w:val="fr-FR"/>
        </w:rPr>
        <w:t xml:space="preserve"> et le personnel du </w:t>
      </w:r>
      <w:r w:rsidR="007E21CD">
        <w:rPr>
          <w:rFonts w:ascii="Calibri" w:eastAsia="Times New Roman" w:hAnsi="Calibri" w:cs="Times New Roman"/>
          <w:color w:val="000000"/>
          <w:lang w:val="fr-FR"/>
        </w:rPr>
        <w:t>PE</w:t>
      </w:r>
    </w:p>
    <w:p w14:paraId="45203F24" w14:textId="1319B80B" w:rsidR="00F876F4" w:rsidRPr="00F876F4" w:rsidRDefault="00F876F4" w:rsidP="00F876F4">
      <w:pPr>
        <w:pStyle w:val="ListParagraph"/>
        <w:numPr>
          <w:ilvl w:val="0"/>
          <w:numId w:val="31"/>
        </w:numPr>
        <w:spacing w:before="80" w:after="80"/>
        <w:rPr>
          <w:rFonts w:ascii="Calibri" w:eastAsia="Times New Roman" w:hAnsi="Calibri" w:cs="Times New Roman"/>
          <w:color w:val="000000"/>
          <w:lang w:val="fr-FR"/>
        </w:rPr>
      </w:pPr>
      <w:r w:rsidRPr="00F876F4">
        <w:rPr>
          <w:rFonts w:ascii="Calibri" w:eastAsia="Times New Roman" w:hAnsi="Calibri" w:cs="Times New Roman"/>
          <w:color w:val="000000"/>
          <w:lang w:val="fr-FR"/>
        </w:rPr>
        <w:t xml:space="preserve"> Les écoles doivent avoir des points focaux du </w:t>
      </w:r>
      <w:r w:rsidR="007E21CD">
        <w:rPr>
          <w:rFonts w:ascii="Calibri" w:eastAsia="Times New Roman" w:hAnsi="Calibri" w:cs="Times New Roman"/>
          <w:color w:val="000000"/>
          <w:lang w:val="fr-FR"/>
        </w:rPr>
        <w:t>PE</w:t>
      </w:r>
      <w:r w:rsidRPr="00F876F4">
        <w:rPr>
          <w:rFonts w:ascii="Calibri" w:eastAsia="Times New Roman" w:hAnsi="Calibri" w:cs="Times New Roman"/>
          <w:color w:val="000000"/>
          <w:lang w:val="fr-FR"/>
        </w:rPr>
        <w:t xml:space="preserve"> et des praticiens du </w:t>
      </w:r>
      <w:r w:rsidR="007E21CD">
        <w:rPr>
          <w:rFonts w:ascii="Calibri" w:eastAsia="Times New Roman" w:hAnsi="Calibri" w:cs="Times New Roman"/>
          <w:color w:val="000000"/>
          <w:lang w:val="fr-FR"/>
        </w:rPr>
        <w:t>PE</w:t>
      </w:r>
      <w:r w:rsidRPr="00F876F4">
        <w:rPr>
          <w:rFonts w:ascii="Calibri" w:eastAsia="Times New Roman" w:hAnsi="Calibri" w:cs="Times New Roman"/>
          <w:color w:val="000000"/>
          <w:lang w:val="fr-FR"/>
        </w:rPr>
        <w:t xml:space="preserve"> à placer dans les écoles et/ou à visiter régulièrement</w:t>
      </w:r>
    </w:p>
    <w:p w14:paraId="01230F30" w14:textId="77777777" w:rsidR="00F876F4" w:rsidRPr="00F876F4" w:rsidRDefault="00F876F4" w:rsidP="00F876F4">
      <w:pPr>
        <w:pStyle w:val="ListParagraph"/>
        <w:spacing w:before="80" w:after="80"/>
        <w:rPr>
          <w:rFonts w:ascii="Calibri" w:eastAsia="Times New Roman" w:hAnsi="Calibri" w:cs="Times New Roman"/>
          <w:color w:val="000000"/>
          <w:lang w:val="fr-FR"/>
        </w:rPr>
      </w:pPr>
    </w:p>
    <w:p w14:paraId="5D5D0CA6" w14:textId="69B174DF" w:rsidR="00080CB7" w:rsidRPr="00F876F4" w:rsidRDefault="00F876F4" w:rsidP="00F876F4">
      <w:pPr>
        <w:spacing w:before="80" w:after="80"/>
        <w:rPr>
          <w:rFonts w:ascii="Calibri" w:eastAsia="Times New Roman" w:hAnsi="Calibri" w:cs="Times New Roman"/>
          <w:color w:val="000000"/>
          <w:lang w:val="fr-FR"/>
        </w:rPr>
      </w:pPr>
      <w:r w:rsidRPr="00F876F4">
        <w:rPr>
          <w:rFonts w:ascii="Calibri" w:eastAsia="Times New Roman" w:hAnsi="Calibri" w:cs="Times New Roman"/>
          <w:color w:val="000000"/>
          <w:lang w:val="fr-FR"/>
        </w:rPr>
        <w:t>Au niveau programmatique, les exemples suivants de listes de contrôle appuient et surveillent l’intégration et l’intégration des ex</w:t>
      </w:r>
      <w:r>
        <w:rPr>
          <w:rFonts w:ascii="Calibri" w:eastAsia="Times New Roman" w:hAnsi="Calibri" w:cs="Times New Roman"/>
          <w:color w:val="000000"/>
          <w:lang w:val="fr-FR"/>
        </w:rPr>
        <w:t xml:space="preserve">igences minimales du </w:t>
      </w:r>
      <w:r w:rsidR="007E21CD">
        <w:rPr>
          <w:rFonts w:ascii="Calibri" w:eastAsia="Times New Roman" w:hAnsi="Calibri" w:cs="Times New Roman"/>
          <w:color w:val="000000"/>
          <w:lang w:val="fr-FR"/>
        </w:rPr>
        <w:t>PE</w:t>
      </w:r>
      <w:r>
        <w:rPr>
          <w:rFonts w:ascii="Calibri" w:eastAsia="Times New Roman" w:hAnsi="Calibri" w:cs="Times New Roman"/>
          <w:color w:val="000000"/>
          <w:lang w:val="fr-FR"/>
        </w:rPr>
        <w:t xml:space="preserve"> et du </w:t>
      </w:r>
      <w:r w:rsidRPr="00F876F4">
        <w:rPr>
          <w:rFonts w:ascii="Calibri" w:eastAsia="Times New Roman" w:hAnsi="Calibri" w:cs="Times New Roman"/>
          <w:color w:val="000000"/>
          <w:lang w:val="fr-FR"/>
        </w:rPr>
        <w:t>P</w:t>
      </w:r>
      <w:r>
        <w:rPr>
          <w:rFonts w:ascii="Calibri" w:eastAsia="Times New Roman" w:hAnsi="Calibri" w:cs="Times New Roman"/>
          <w:color w:val="000000"/>
          <w:lang w:val="fr-FR"/>
        </w:rPr>
        <w:t>SS</w:t>
      </w:r>
      <w:r w:rsidRPr="00F876F4">
        <w:rPr>
          <w:rFonts w:ascii="Calibri" w:eastAsia="Times New Roman" w:hAnsi="Calibri" w:cs="Times New Roman"/>
          <w:color w:val="000000"/>
          <w:lang w:val="fr-FR"/>
        </w:rPr>
        <w:t xml:space="preserve"> dans les programmes d’éducation: (</w:t>
      </w:r>
      <w:r w:rsidR="007E21CD">
        <w:rPr>
          <w:rFonts w:ascii="Calibri" w:eastAsia="Times New Roman" w:hAnsi="Calibri" w:cs="Times New Roman"/>
          <w:color w:val="000000"/>
          <w:lang w:val="fr-FR"/>
        </w:rPr>
        <w:t xml:space="preserve">exemples du </w:t>
      </w:r>
      <w:hyperlink r:id="rId15" w:history="1">
        <w:r w:rsidRPr="007E21CD">
          <w:rPr>
            <w:rStyle w:val="Hyperlink"/>
            <w:rFonts w:ascii="Calibri" w:eastAsia="Times New Roman" w:hAnsi="Calibri" w:cs="Times New Roman"/>
            <w:lang w:val="fr-FR"/>
          </w:rPr>
          <w:t>Soudan du Sud</w:t>
        </w:r>
      </w:hyperlink>
      <w:r>
        <w:rPr>
          <w:rFonts w:ascii="Calibri" w:eastAsia="Times New Roman" w:hAnsi="Calibri" w:cs="Times New Roman"/>
          <w:color w:val="0070C0"/>
          <w:lang w:val="fr-FR"/>
        </w:rPr>
        <w:t xml:space="preserve">, </w:t>
      </w:r>
      <w:hyperlink r:id="rId16" w:history="1">
        <w:r w:rsidRPr="007E21CD">
          <w:rPr>
            <w:rStyle w:val="Hyperlink"/>
            <w:rFonts w:ascii="Calibri" w:eastAsia="Times New Roman" w:hAnsi="Calibri" w:cs="Times New Roman"/>
            <w:lang w:val="fr-FR"/>
          </w:rPr>
          <w:t>Zimbabwe</w:t>
        </w:r>
      </w:hyperlink>
      <w:r w:rsidRPr="00F876F4">
        <w:rPr>
          <w:rFonts w:ascii="Calibri" w:eastAsia="Times New Roman" w:hAnsi="Calibri" w:cs="Times New Roman"/>
          <w:color w:val="0070C0"/>
          <w:lang w:val="fr-FR"/>
        </w:rPr>
        <w:t xml:space="preserve"> </w:t>
      </w:r>
      <w:r w:rsidRPr="00F876F4">
        <w:rPr>
          <w:lang w:val="fr-FR"/>
        </w:rPr>
        <w:t xml:space="preserve">&amp; </w:t>
      </w:r>
      <w:hyperlink r:id="rId17" w:history="1">
        <w:r w:rsidRPr="007E21CD">
          <w:rPr>
            <w:rStyle w:val="Hyperlink"/>
            <w:rFonts w:ascii="Calibri" w:eastAsia="Times New Roman" w:hAnsi="Calibri" w:cs="Times New Roman"/>
            <w:lang w:val="fr-FR"/>
          </w:rPr>
          <w:t>exemples généraux</w:t>
        </w:r>
      </w:hyperlink>
      <w:r w:rsidRPr="00F876F4">
        <w:rPr>
          <w:rFonts w:ascii="Calibri" w:eastAsia="Times New Roman" w:hAnsi="Calibri" w:cs="Times New Roman"/>
          <w:color w:val="000000"/>
          <w:lang w:val="fr-FR"/>
        </w:rPr>
        <w:t>) :</w:t>
      </w:r>
      <w:r>
        <w:rPr>
          <w:rFonts w:ascii="Calibri" w:eastAsia="Times New Roman" w:hAnsi="Calibri" w:cs="Times New Roman"/>
          <w:color w:val="000000"/>
          <w:lang w:val="fr-FR"/>
        </w:rPr>
        <w:t xml:space="preserve">   </w:t>
      </w:r>
    </w:p>
    <w:p w14:paraId="0660471B" w14:textId="77777777" w:rsidR="00080CB7" w:rsidRPr="00F876F4" w:rsidRDefault="00080CB7" w:rsidP="00080CB7">
      <w:pPr>
        <w:spacing w:before="80" w:after="0"/>
        <w:jc w:val="center"/>
        <w:rPr>
          <w:rFonts w:ascii="Calibri" w:eastAsia="Times New Roman" w:hAnsi="Calibri" w:cs="Times New Roman"/>
          <w:color w:val="000000"/>
          <w:lang w:val="fr-FR"/>
        </w:rPr>
      </w:pPr>
      <w:r w:rsidRPr="00890C2E">
        <w:rPr>
          <w:rFonts w:ascii="Calibri" w:eastAsia="Times New Roman" w:hAnsi="Calibri" w:cs="Times New Roman"/>
          <w:noProof/>
          <w:color w:val="000000"/>
          <w:lang w:val="fr-FR" w:eastAsia="fr-FR"/>
        </w:rPr>
        <w:drawing>
          <wp:anchor distT="0" distB="0" distL="114300" distR="114300" simplePos="0" relativeHeight="251661312" behindDoc="0" locked="0" layoutInCell="1" allowOverlap="1" wp14:anchorId="069AB632" wp14:editId="784C551B">
            <wp:simplePos x="0" y="0"/>
            <wp:positionH relativeFrom="column">
              <wp:posOffset>-152400</wp:posOffset>
            </wp:positionH>
            <wp:positionV relativeFrom="paragraph">
              <wp:posOffset>13335</wp:posOffset>
            </wp:positionV>
            <wp:extent cx="4004310" cy="2673985"/>
            <wp:effectExtent l="0" t="0" r="0" b="0"/>
            <wp:wrapThrough wrapText="bothSides">
              <wp:wrapPolygon edited="0">
                <wp:start x="0" y="0"/>
                <wp:lineTo x="0" y="21390"/>
                <wp:lineTo x="21477" y="21390"/>
                <wp:lineTo x="2147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04310" cy="2673985"/>
                    </a:xfrm>
                    <a:prstGeom prst="rect">
                      <a:avLst/>
                    </a:prstGeom>
                  </pic:spPr>
                </pic:pic>
              </a:graphicData>
            </a:graphic>
            <wp14:sizeRelH relativeFrom="margin">
              <wp14:pctWidth>0</wp14:pctWidth>
            </wp14:sizeRelH>
            <wp14:sizeRelV relativeFrom="margin">
              <wp14:pctHeight>0</wp14:pctHeight>
            </wp14:sizeRelV>
          </wp:anchor>
        </w:drawing>
      </w:r>
    </w:p>
    <w:p w14:paraId="3694808B" w14:textId="77777777" w:rsidR="00080CB7" w:rsidRPr="00F876F4" w:rsidRDefault="00080CB7" w:rsidP="00080CB7">
      <w:pPr>
        <w:jc w:val="center"/>
        <w:rPr>
          <w:highlight w:val="yellow"/>
          <w:lang w:val="fr-FR"/>
        </w:rPr>
      </w:pPr>
      <w:r w:rsidRPr="00890C2E">
        <w:rPr>
          <w:noProof/>
          <w:lang w:val="fr-FR" w:eastAsia="fr-FR"/>
        </w:rPr>
        <w:drawing>
          <wp:anchor distT="0" distB="0" distL="114300" distR="114300" simplePos="0" relativeHeight="251662336" behindDoc="0" locked="0" layoutInCell="1" allowOverlap="1" wp14:anchorId="2369EED0" wp14:editId="31FB5ABC">
            <wp:simplePos x="0" y="0"/>
            <wp:positionH relativeFrom="column">
              <wp:posOffset>2767965</wp:posOffset>
            </wp:positionH>
            <wp:positionV relativeFrom="paragraph">
              <wp:posOffset>200025</wp:posOffset>
            </wp:positionV>
            <wp:extent cx="4163695" cy="3041650"/>
            <wp:effectExtent l="0" t="0" r="8255" b="6350"/>
            <wp:wrapThrough wrapText="bothSides">
              <wp:wrapPolygon edited="0">
                <wp:start x="0" y="0"/>
                <wp:lineTo x="0" y="21510"/>
                <wp:lineTo x="21544" y="21510"/>
                <wp:lineTo x="2154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163695" cy="3041650"/>
                    </a:xfrm>
                    <a:prstGeom prst="rect">
                      <a:avLst/>
                    </a:prstGeom>
                  </pic:spPr>
                </pic:pic>
              </a:graphicData>
            </a:graphic>
            <wp14:sizeRelH relativeFrom="margin">
              <wp14:pctWidth>0</wp14:pctWidth>
            </wp14:sizeRelH>
            <wp14:sizeRelV relativeFrom="margin">
              <wp14:pctHeight>0</wp14:pctHeight>
            </wp14:sizeRelV>
          </wp:anchor>
        </w:drawing>
      </w:r>
    </w:p>
    <w:p w14:paraId="7A143500" w14:textId="77777777" w:rsidR="00080CB7" w:rsidRPr="00F876F4" w:rsidRDefault="00080CB7" w:rsidP="00080CB7">
      <w:pPr>
        <w:spacing w:before="80" w:after="80"/>
        <w:rPr>
          <w:rFonts w:ascii="Calibri" w:eastAsia="Times New Roman" w:hAnsi="Calibri" w:cs="Times New Roman"/>
          <w:color w:val="000000"/>
          <w:lang w:val="fr-FR"/>
        </w:rPr>
      </w:pPr>
    </w:p>
    <w:p w14:paraId="74423F67" w14:textId="77777777" w:rsidR="00080CB7" w:rsidRPr="00F876F4" w:rsidRDefault="00080CB7" w:rsidP="00080CB7">
      <w:pPr>
        <w:rPr>
          <w:b/>
          <w:color w:val="800040"/>
          <w:lang w:val="fr-FR"/>
        </w:rPr>
      </w:pPr>
    </w:p>
    <w:p w14:paraId="2C873CBE" w14:textId="77777777" w:rsidR="00080CB7" w:rsidRPr="00F876F4" w:rsidRDefault="00080CB7" w:rsidP="00080CB7">
      <w:pPr>
        <w:rPr>
          <w:b/>
          <w:color w:val="800040"/>
          <w:lang w:val="fr-FR"/>
        </w:rPr>
      </w:pPr>
      <w:r w:rsidRPr="00F876F4">
        <w:rPr>
          <w:b/>
          <w:color w:val="800040"/>
          <w:lang w:val="fr-FR"/>
        </w:rPr>
        <w:br w:type="page"/>
      </w:r>
    </w:p>
    <w:p w14:paraId="5B321545" w14:textId="00876BAA" w:rsidR="00080CB7" w:rsidRPr="00D14E40" w:rsidRDefault="00080CB7" w:rsidP="00080CB7">
      <w:pPr>
        <w:ind w:right="-89"/>
        <w:rPr>
          <w:b/>
          <w:color w:val="EB3741"/>
          <w:lang w:val="fr-FR"/>
        </w:rPr>
      </w:pPr>
      <w:bookmarkStart w:id="3" w:name="Annex13"/>
      <w:r w:rsidRPr="00D14E40">
        <w:rPr>
          <w:b/>
          <w:color w:val="EB3741"/>
          <w:lang w:val="fr-FR"/>
        </w:rPr>
        <w:lastRenderedPageBreak/>
        <w:t>Annex</w:t>
      </w:r>
      <w:r w:rsidR="00D14E40" w:rsidRPr="00D14E40">
        <w:rPr>
          <w:b/>
          <w:color w:val="EB3741"/>
          <w:lang w:val="fr-FR"/>
        </w:rPr>
        <w:t>e</w:t>
      </w:r>
      <w:r w:rsidRPr="00D14E40">
        <w:rPr>
          <w:b/>
          <w:color w:val="EB3741"/>
          <w:lang w:val="fr-FR"/>
        </w:rPr>
        <w:t xml:space="preserve"> 1</w:t>
      </w:r>
      <w:r w:rsidR="00BE2A9E" w:rsidRPr="00D14E40">
        <w:rPr>
          <w:b/>
          <w:color w:val="EB3741"/>
          <w:lang w:val="fr-FR"/>
        </w:rPr>
        <w:t>3</w:t>
      </w:r>
      <w:bookmarkEnd w:id="3"/>
      <w:r w:rsidR="00D14E40" w:rsidRPr="00D14E40">
        <w:rPr>
          <w:b/>
          <w:color w:val="EB3741"/>
          <w:lang w:val="fr-FR"/>
        </w:rPr>
        <w:t xml:space="preserve"> </w:t>
      </w:r>
      <w:r w:rsidRPr="00D14E40">
        <w:rPr>
          <w:b/>
          <w:color w:val="EB3741"/>
          <w:lang w:val="fr-FR"/>
        </w:rPr>
        <w:t xml:space="preserve">: </w:t>
      </w:r>
      <w:r w:rsidR="00D14E40" w:rsidRPr="00D14E40">
        <w:rPr>
          <w:b/>
          <w:color w:val="EB3741"/>
          <w:lang w:val="fr-FR"/>
        </w:rPr>
        <w:t xml:space="preserve">Exemple d’orientation s’appliquant aux activités courantes et complémentaires (clarifier la façon dont les partenaires de mise en œuvre devraient faire rapport afin d’améliorer l’exactitude des rapports et de réduire le double comptage)    </w:t>
      </w:r>
    </w:p>
    <w:p w14:paraId="2B66E683" w14:textId="472232CB" w:rsidR="00080CB7" w:rsidRPr="00890C2E" w:rsidRDefault="00D14E40" w:rsidP="00080CB7">
      <w:pPr>
        <w:spacing w:before="80" w:after="80"/>
        <w:rPr>
          <w:lang w:val="en-GB"/>
        </w:rPr>
      </w:pPr>
      <w:r w:rsidRPr="00D14E40">
        <w:rPr>
          <w:rFonts w:ascii="Calibri" w:eastAsia="Times New Roman" w:hAnsi="Calibri" w:cs="Times New Roman"/>
          <w:color w:val="000000"/>
          <w:lang w:val="fr-FR"/>
        </w:rPr>
        <w:t xml:space="preserve">Il existe des exemples n’indiquent que les rapports par activité, l’âge de l’enfant, l’emplacement de l’activité et la source de financement sont fondés sur des pays. Diverses dispositions de suivi et de rapports sont possibles, et les secteurs devraient choisir l’arrangement qui a le plus de sens pour leurs secteurs et partenaires ; </w:t>
      </w:r>
      <w:r w:rsidRPr="00D14E40">
        <w:rPr>
          <w:rFonts w:ascii="Calibri" w:eastAsia="Times New Roman" w:hAnsi="Calibri" w:cs="Times New Roman"/>
          <w:color w:val="000000"/>
          <w:u w:val="single"/>
          <w:lang w:val="fr-FR"/>
        </w:rPr>
        <w:t xml:space="preserve">l’important est de communiquer clairement les responsabilités aux partenaires. </w:t>
      </w:r>
      <w:proofErr w:type="spellStart"/>
      <w:r w:rsidRPr="00D14E40">
        <w:rPr>
          <w:rFonts w:ascii="Calibri" w:eastAsia="Times New Roman" w:hAnsi="Calibri" w:cs="Times New Roman"/>
          <w:color w:val="000000"/>
          <w:lang w:val="en-GB"/>
        </w:rPr>
        <w:t>Voici</w:t>
      </w:r>
      <w:proofErr w:type="spellEnd"/>
      <w:r w:rsidRPr="00D14E40">
        <w:rPr>
          <w:rFonts w:ascii="Calibri" w:eastAsia="Times New Roman" w:hAnsi="Calibri" w:cs="Times New Roman"/>
          <w:color w:val="000000"/>
          <w:lang w:val="en-GB"/>
        </w:rPr>
        <w:t xml:space="preserve"> </w:t>
      </w:r>
      <w:proofErr w:type="spellStart"/>
      <w:r w:rsidRPr="00D14E40">
        <w:rPr>
          <w:rFonts w:ascii="Calibri" w:eastAsia="Times New Roman" w:hAnsi="Calibri" w:cs="Times New Roman"/>
          <w:color w:val="000000"/>
          <w:lang w:val="en-GB"/>
        </w:rPr>
        <w:t>quelques</w:t>
      </w:r>
      <w:proofErr w:type="spellEnd"/>
      <w:r w:rsidRPr="00D14E40">
        <w:rPr>
          <w:rFonts w:ascii="Calibri" w:eastAsia="Times New Roman" w:hAnsi="Calibri" w:cs="Times New Roman"/>
          <w:color w:val="000000"/>
          <w:lang w:val="en-GB"/>
        </w:rPr>
        <w:t xml:space="preserve"> options pour les </w:t>
      </w:r>
      <w:proofErr w:type="spellStart"/>
      <w:r w:rsidRPr="00D14E40">
        <w:rPr>
          <w:rFonts w:ascii="Calibri" w:eastAsia="Times New Roman" w:hAnsi="Calibri" w:cs="Times New Roman"/>
          <w:color w:val="000000"/>
          <w:lang w:val="en-GB"/>
        </w:rPr>
        <w:t>critères</w:t>
      </w:r>
      <w:proofErr w:type="spellEnd"/>
      <w:r w:rsidRPr="00D14E40">
        <w:rPr>
          <w:rFonts w:ascii="Calibri" w:eastAsia="Times New Roman" w:hAnsi="Calibri" w:cs="Times New Roman"/>
          <w:color w:val="000000"/>
          <w:lang w:val="en-GB"/>
        </w:rPr>
        <w:t>:</w:t>
      </w:r>
      <w:r>
        <w:rPr>
          <w:rFonts w:ascii="Calibri" w:eastAsia="Times New Roman" w:hAnsi="Calibri" w:cs="Times New Roman"/>
          <w:color w:val="000000"/>
          <w:lang w:val="en-GB"/>
        </w:rPr>
        <w:t xml:space="preserve">      </w:t>
      </w:r>
    </w:p>
    <w:p w14:paraId="60E24D92" w14:textId="7E3E573C" w:rsidR="004A6FEF" w:rsidRPr="004A6FEF" w:rsidRDefault="004A6FEF" w:rsidP="004A6FEF">
      <w:pPr>
        <w:pStyle w:val="ListParagraph"/>
        <w:numPr>
          <w:ilvl w:val="0"/>
          <w:numId w:val="28"/>
        </w:numPr>
        <w:spacing w:before="80" w:after="80" w:line="256" w:lineRule="auto"/>
        <w:rPr>
          <w:rFonts w:ascii="Calibri" w:eastAsia="Times New Roman" w:hAnsi="Calibri" w:cs="Times New Roman"/>
          <w:color w:val="000000"/>
          <w:sz w:val="20"/>
          <w:szCs w:val="20"/>
          <w:lang w:val="fr-FR"/>
        </w:rPr>
      </w:pPr>
      <w:r w:rsidRPr="004A6FEF">
        <w:rPr>
          <w:rFonts w:ascii="Calibri" w:eastAsia="Times New Roman" w:hAnsi="Calibri" w:cs="Times New Roman"/>
          <w:b/>
          <w:color w:val="000000"/>
          <w:sz w:val="20"/>
          <w:szCs w:val="20"/>
          <w:lang w:val="fr-FR"/>
        </w:rPr>
        <w:t xml:space="preserve"> Lieu </w:t>
      </w:r>
      <w:r w:rsidRPr="004A6FEF">
        <w:rPr>
          <w:rFonts w:ascii="Calibri" w:eastAsia="Times New Roman" w:hAnsi="Calibri" w:cs="Times New Roman"/>
          <w:color w:val="000000"/>
          <w:sz w:val="20"/>
          <w:szCs w:val="20"/>
          <w:lang w:val="fr-FR"/>
        </w:rPr>
        <w:t xml:space="preserve">: p. ex. Les activités scolaires font rapport au </w:t>
      </w:r>
      <w:r w:rsidR="007E21CD">
        <w:rPr>
          <w:rFonts w:ascii="Calibri" w:eastAsia="Times New Roman" w:hAnsi="Calibri" w:cs="Times New Roman"/>
          <w:color w:val="000000"/>
          <w:sz w:val="20"/>
          <w:szCs w:val="20"/>
          <w:lang w:val="fr-FR"/>
        </w:rPr>
        <w:t>PE</w:t>
      </w:r>
      <w:r w:rsidRPr="004A6FEF">
        <w:rPr>
          <w:rFonts w:ascii="Calibri" w:eastAsia="Times New Roman" w:hAnsi="Calibri" w:cs="Times New Roman"/>
          <w:color w:val="000000"/>
          <w:sz w:val="20"/>
          <w:szCs w:val="20"/>
          <w:lang w:val="fr-FR"/>
        </w:rPr>
        <w:t xml:space="preserve"> sur l’éducation, les activités communautaires relèvent du </w:t>
      </w:r>
      <w:r w:rsidR="007E21CD">
        <w:rPr>
          <w:rFonts w:ascii="Calibri" w:eastAsia="Times New Roman" w:hAnsi="Calibri" w:cs="Times New Roman"/>
          <w:color w:val="000000"/>
          <w:sz w:val="20"/>
          <w:szCs w:val="20"/>
          <w:lang w:val="fr-FR"/>
        </w:rPr>
        <w:t>PE</w:t>
      </w:r>
      <w:r w:rsidRPr="004A6FEF">
        <w:rPr>
          <w:rFonts w:ascii="Calibri" w:eastAsia="Times New Roman" w:hAnsi="Calibri" w:cs="Times New Roman"/>
          <w:color w:val="000000"/>
          <w:sz w:val="20"/>
          <w:szCs w:val="20"/>
          <w:lang w:val="fr-FR"/>
        </w:rPr>
        <w:t xml:space="preserve"> (exemple des activités du MHPSS en Iraq)</w:t>
      </w:r>
    </w:p>
    <w:p w14:paraId="64C6BD8B" w14:textId="415C043C" w:rsidR="004A6FEF" w:rsidRPr="004A6FEF" w:rsidRDefault="004A6FEF" w:rsidP="004A6FEF">
      <w:pPr>
        <w:pStyle w:val="ListParagraph"/>
        <w:numPr>
          <w:ilvl w:val="0"/>
          <w:numId w:val="28"/>
        </w:numPr>
        <w:spacing w:before="80" w:after="80" w:line="256" w:lineRule="auto"/>
        <w:rPr>
          <w:rFonts w:ascii="Calibri" w:eastAsia="Times New Roman" w:hAnsi="Calibri" w:cs="Times New Roman"/>
          <w:color w:val="000000"/>
          <w:sz w:val="20"/>
          <w:szCs w:val="20"/>
          <w:lang w:val="fr-FR"/>
        </w:rPr>
      </w:pPr>
      <w:r w:rsidRPr="004A6FEF">
        <w:rPr>
          <w:rFonts w:ascii="Calibri" w:eastAsia="Times New Roman" w:hAnsi="Calibri" w:cs="Times New Roman"/>
          <w:b/>
          <w:color w:val="000000"/>
          <w:sz w:val="20"/>
          <w:szCs w:val="20"/>
          <w:lang w:val="fr-FR"/>
        </w:rPr>
        <w:t xml:space="preserve"> Activité </w:t>
      </w:r>
      <w:r w:rsidRPr="004A6FEF">
        <w:rPr>
          <w:rFonts w:ascii="Calibri" w:eastAsia="Times New Roman" w:hAnsi="Calibri" w:cs="Times New Roman"/>
          <w:color w:val="000000"/>
          <w:sz w:val="20"/>
          <w:szCs w:val="20"/>
          <w:lang w:val="fr-FR"/>
        </w:rPr>
        <w:t xml:space="preserve">: par exemple, les enseignants formés au rapport MHPSS à l’éducation, les enfants bénéficiant du rapport du MHPSS au </w:t>
      </w:r>
      <w:r w:rsidR="007E21CD">
        <w:rPr>
          <w:rFonts w:ascii="Calibri" w:eastAsia="Times New Roman" w:hAnsi="Calibri" w:cs="Times New Roman"/>
          <w:color w:val="000000"/>
          <w:sz w:val="20"/>
          <w:szCs w:val="20"/>
          <w:lang w:val="fr-FR"/>
        </w:rPr>
        <w:t>PE</w:t>
      </w:r>
      <w:r w:rsidRPr="004A6FEF">
        <w:rPr>
          <w:rFonts w:ascii="Calibri" w:eastAsia="Times New Roman" w:hAnsi="Calibri" w:cs="Times New Roman"/>
          <w:color w:val="000000"/>
          <w:sz w:val="20"/>
          <w:szCs w:val="20"/>
          <w:lang w:val="fr-FR"/>
        </w:rPr>
        <w:t xml:space="preserve"> (exemple de l’Ukraine)</w:t>
      </w:r>
    </w:p>
    <w:p w14:paraId="37625FBA" w14:textId="6A403442" w:rsidR="004A6FEF" w:rsidRPr="004A6FEF" w:rsidRDefault="004A6FEF" w:rsidP="004A6FEF">
      <w:pPr>
        <w:pStyle w:val="ListParagraph"/>
        <w:numPr>
          <w:ilvl w:val="0"/>
          <w:numId w:val="28"/>
        </w:numPr>
        <w:spacing w:before="80" w:after="80" w:line="256" w:lineRule="auto"/>
        <w:rPr>
          <w:rFonts w:ascii="Calibri" w:eastAsia="Times New Roman" w:hAnsi="Calibri" w:cs="Times New Roman"/>
          <w:color w:val="000000"/>
          <w:sz w:val="20"/>
          <w:szCs w:val="20"/>
          <w:lang w:val="fr-FR"/>
        </w:rPr>
      </w:pPr>
      <w:r w:rsidRPr="004A6FEF">
        <w:rPr>
          <w:rFonts w:ascii="Calibri" w:eastAsia="Times New Roman" w:hAnsi="Calibri" w:cs="Times New Roman"/>
          <w:b/>
          <w:color w:val="000000"/>
          <w:sz w:val="20"/>
          <w:szCs w:val="20"/>
          <w:lang w:val="fr-FR"/>
        </w:rPr>
        <w:t xml:space="preserve"> Âge </w:t>
      </w:r>
      <w:r w:rsidRPr="004A6FEF">
        <w:rPr>
          <w:rFonts w:ascii="Calibri" w:eastAsia="Times New Roman" w:hAnsi="Calibri" w:cs="Times New Roman"/>
          <w:color w:val="000000"/>
          <w:sz w:val="20"/>
          <w:szCs w:val="20"/>
          <w:lang w:val="fr-FR"/>
        </w:rPr>
        <w:t xml:space="preserve">: p. ex. 3-14 ans pour l’éducation, 15-18 ans au </w:t>
      </w:r>
      <w:r w:rsidR="007E21CD">
        <w:rPr>
          <w:rFonts w:ascii="Calibri" w:eastAsia="Times New Roman" w:hAnsi="Calibri" w:cs="Times New Roman"/>
          <w:color w:val="000000"/>
          <w:sz w:val="20"/>
          <w:szCs w:val="20"/>
          <w:lang w:val="fr-FR"/>
        </w:rPr>
        <w:t>PE</w:t>
      </w:r>
      <w:r w:rsidRPr="004A6FEF">
        <w:rPr>
          <w:rFonts w:ascii="Calibri" w:eastAsia="Times New Roman" w:hAnsi="Calibri" w:cs="Times New Roman"/>
          <w:color w:val="000000"/>
          <w:sz w:val="20"/>
          <w:szCs w:val="20"/>
          <w:lang w:val="fr-FR"/>
        </w:rPr>
        <w:t>, (exemple des activités du MHPSS dans les espaces polyvalents du CXB)</w:t>
      </w:r>
    </w:p>
    <w:p w14:paraId="7D815FA6" w14:textId="49195371" w:rsidR="00080CB7" w:rsidRPr="007E21CD" w:rsidRDefault="004A6FEF" w:rsidP="00080CB7">
      <w:pPr>
        <w:pStyle w:val="ListParagraph"/>
        <w:numPr>
          <w:ilvl w:val="0"/>
          <w:numId w:val="28"/>
        </w:numPr>
        <w:spacing w:before="80" w:after="80" w:line="256" w:lineRule="auto"/>
        <w:rPr>
          <w:sz w:val="20"/>
          <w:szCs w:val="20"/>
          <w:lang w:val="fr-FR"/>
        </w:rPr>
      </w:pPr>
      <w:r w:rsidRPr="004A6FEF">
        <w:rPr>
          <w:rFonts w:ascii="Calibri" w:eastAsia="Times New Roman" w:hAnsi="Calibri" w:cs="Times New Roman"/>
          <w:b/>
          <w:color w:val="000000"/>
          <w:sz w:val="20"/>
          <w:szCs w:val="20"/>
          <w:lang w:val="fr-FR"/>
        </w:rPr>
        <w:t xml:space="preserve"> Source de financement </w:t>
      </w:r>
      <w:r w:rsidRPr="004A6FEF">
        <w:rPr>
          <w:rFonts w:ascii="Calibri" w:eastAsia="Times New Roman" w:hAnsi="Calibri" w:cs="Times New Roman"/>
          <w:color w:val="000000"/>
          <w:sz w:val="20"/>
          <w:szCs w:val="20"/>
          <w:lang w:val="fr-FR"/>
        </w:rPr>
        <w:t>: Activités financées par un rapport sectoriel à ce secteur (exemples de plusieurs pays</w:t>
      </w:r>
    </w:p>
    <w:tbl>
      <w:tblPr>
        <w:tblStyle w:val="TableGrid"/>
        <w:tblW w:w="0" w:type="auto"/>
        <w:tblInd w:w="567" w:type="dxa"/>
        <w:tblBorders>
          <w:top w:val="single" w:sz="12" w:space="0" w:color="EB3741"/>
          <w:left w:val="single" w:sz="12" w:space="0" w:color="EB3741"/>
          <w:bottom w:val="single" w:sz="12" w:space="0" w:color="EB3741"/>
          <w:right w:val="single" w:sz="12" w:space="0" w:color="EB3741"/>
          <w:insideH w:val="single" w:sz="12" w:space="0" w:color="EB3741"/>
          <w:insideV w:val="single" w:sz="12" w:space="0" w:color="EB3741"/>
        </w:tblBorders>
        <w:tblLook w:val="04A0" w:firstRow="1" w:lastRow="0" w:firstColumn="1" w:lastColumn="0" w:noHBand="0" w:noVBand="1"/>
      </w:tblPr>
      <w:tblGrid>
        <w:gridCol w:w="1555"/>
        <w:gridCol w:w="2185"/>
        <w:gridCol w:w="2067"/>
        <w:gridCol w:w="1673"/>
        <w:gridCol w:w="1870"/>
      </w:tblGrid>
      <w:tr w:rsidR="00080CB7" w:rsidRPr="00890C2E" w14:paraId="2313121D" w14:textId="77777777" w:rsidTr="00FA2835">
        <w:tc>
          <w:tcPr>
            <w:tcW w:w="1555" w:type="dxa"/>
            <w:hideMark/>
          </w:tcPr>
          <w:p w14:paraId="673F6800" w14:textId="587A0B16" w:rsidR="00080CB7" w:rsidRPr="00FA2835" w:rsidRDefault="00880A76" w:rsidP="00985B6B">
            <w:pPr>
              <w:jc w:val="both"/>
              <w:rPr>
                <w:b/>
                <w:bCs/>
                <w:iCs/>
                <w:color w:val="EB3741"/>
                <w:sz w:val="20"/>
                <w:szCs w:val="20"/>
                <w:lang w:val="en-GB"/>
              </w:rPr>
            </w:pPr>
            <w:proofErr w:type="spellStart"/>
            <w:r>
              <w:rPr>
                <w:b/>
                <w:bCs/>
                <w:iCs/>
                <w:color w:val="EB3741"/>
                <w:sz w:val="20"/>
                <w:szCs w:val="20"/>
                <w:lang w:val="en-GB"/>
              </w:rPr>
              <w:t>Activités</w:t>
            </w:r>
            <w:proofErr w:type="spellEnd"/>
          </w:p>
        </w:tc>
        <w:tc>
          <w:tcPr>
            <w:tcW w:w="2185" w:type="dxa"/>
            <w:hideMark/>
          </w:tcPr>
          <w:p w14:paraId="0685BC38" w14:textId="5D083517" w:rsidR="00080CB7" w:rsidRPr="00FA2835" w:rsidRDefault="004A6FEF" w:rsidP="00985B6B">
            <w:pPr>
              <w:jc w:val="both"/>
              <w:rPr>
                <w:b/>
                <w:bCs/>
                <w:iCs/>
                <w:color w:val="EB3741"/>
                <w:sz w:val="20"/>
                <w:szCs w:val="20"/>
                <w:lang w:val="en-GB"/>
              </w:rPr>
            </w:pPr>
            <w:proofErr w:type="spellStart"/>
            <w:r>
              <w:rPr>
                <w:b/>
                <w:bCs/>
                <w:iCs/>
                <w:color w:val="EB3741"/>
                <w:sz w:val="20"/>
                <w:szCs w:val="20"/>
                <w:lang w:val="en-GB"/>
              </w:rPr>
              <w:t>Menée</w:t>
            </w:r>
            <w:r w:rsidR="00880A76">
              <w:rPr>
                <w:b/>
                <w:bCs/>
                <w:iCs/>
                <w:color w:val="EB3741"/>
                <w:sz w:val="20"/>
                <w:szCs w:val="20"/>
                <w:lang w:val="en-GB"/>
              </w:rPr>
              <w:t>s</w:t>
            </w:r>
            <w:proofErr w:type="spellEnd"/>
            <w:r>
              <w:rPr>
                <w:b/>
                <w:bCs/>
                <w:iCs/>
                <w:color w:val="EB3741"/>
                <w:sz w:val="20"/>
                <w:szCs w:val="20"/>
                <w:lang w:val="en-GB"/>
              </w:rPr>
              <w:t xml:space="preserve"> dans</w:t>
            </w:r>
            <w:r w:rsidR="00080CB7" w:rsidRPr="00FA2835">
              <w:rPr>
                <w:b/>
                <w:bCs/>
                <w:iCs/>
                <w:color w:val="EB3741"/>
                <w:sz w:val="20"/>
                <w:szCs w:val="20"/>
                <w:lang w:val="en-GB"/>
              </w:rPr>
              <w:t>…</w:t>
            </w:r>
          </w:p>
        </w:tc>
        <w:tc>
          <w:tcPr>
            <w:tcW w:w="2067" w:type="dxa"/>
            <w:hideMark/>
          </w:tcPr>
          <w:p w14:paraId="53925941" w14:textId="5ACC10D0" w:rsidR="00080CB7" w:rsidRPr="004A6FEF" w:rsidRDefault="004A6FEF" w:rsidP="00985B6B">
            <w:pPr>
              <w:jc w:val="both"/>
              <w:rPr>
                <w:b/>
                <w:bCs/>
                <w:iCs/>
                <w:color w:val="EB3741"/>
                <w:sz w:val="20"/>
                <w:szCs w:val="20"/>
                <w:lang w:val="fr-FR"/>
              </w:rPr>
            </w:pPr>
            <w:r w:rsidRPr="004A6FEF">
              <w:rPr>
                <w:b/>
                <w:bCs/>
                <w:iCs/>
                <w:color w:val="EB3741"/>
                <w:sz w:val="20"/>
                <w:szCs w:val="20"/>
                <w:lang w:val="fr-FR"/>
              </w:rPr>
              <w:t>Pour les Enfants âgé de</w:t>
            </w:r>
            <w:r w:rsidR="00080CB7" w:rsidRPr="004A6FEF">
              <w:rPr>
                <w:b/>
                <w:bCs/>
                <w:iCs/>
                <w:color w:val="EB3741"/>
                <w:sz w:val="20"/>
                <w:szCs w:val="20"/>
                <w:lang w:val="fr-FR"/>
              </w:rPr>
              <w:t>…</w:t>
            </w:r>
          </w:p>
        </w:tc>
        <w:tc>
          <w:tcPr>
            <w:tcW w:w="1673" w:type="dxa"/>
            <w:hideMark/>
          </w:tcPr>
          <w:p w14:paraId="3076F332" w14:textId="1EE994FD" w:rsidR="00080CB7" w:rsidRPr="00FA2835" w:rsidRDefault="004A6FEF" w:rsidP="00985B6B">
            <w:pPr>
              <w:jc w:val="both"/>
              <w:rPr>
                <w:b/>
                <w:bCs/>
                <w:iCs/>
                <w:color w:val="EB3741"/>
                <w:sz w:val="20"/>
                <w:szCs w:val="20"/>
                <w:lang w:val="en-GB"/>
              </w:rPr>
            </w:pPr>
            <w:proofErr w:type="spellStart"/>
            <w:r>
              <w:rPr>
                <w:b/>
                <w:bCs/>
                <w:iCs/>
                <w:color w:val="EB3741"/>
                <w:sz w:val="20"/>
                <w:szCs w:val="20"/>
                <w:lang w:val="en-GB"/>
              </w:rPr>
              <w:t>Financée</w:t>
            </w:r>
            <w:r w:rsidR="00880A76">
              <w:rPr>
                <w:b/>
                <w:bCs/>
                <w:iCs/>
                <w:color w:val="EB3741"/>
                <w:sz w:val="20"/>
                <w:szCs w:val="20"/>
                <w:lang w:val="en-GB"/>
              </w:rPr>
              <w:t>s</w:t>
            </w:r>
            <w:proofErr w:type="spellEnd"/>
            <w:r>
              <w:rPr>
                <w:b/>
                <w:bCs/>
                <w:iCs/>
                <w:color w:val="EB3741"/>
                <w:sz w:val="20"/>
                <w:szCs w:val="20"/>
                <w:lang w:val="en-GB"/>
              </w:rPr>
              <w:t xml:space="preserve"> par</w:t>
            </w:r>
            <w:r w:rsidR="00080CB7" w:rsidRPr="00FA2835">
              <w:rPr>
                <w:b/>
                <w:bCs/>
                <w:iCs/>
                <w:color w:val="EB3741"/>
                <w:sz w:val="20"/>
                <w:szCs w:val="20"/>
                <w:lang w:val="en-GB"/>
              </w:rPr>
              <w:t>…</w:t>
            </w:r>
          </w:p>
        </w:tc>
        <w:tc>
          <w:tcPr>
            <w:tcW w:w="1870" w:type="dxa"/>
            <w:hideMark/>
          </w:tcPr>
          <w:p w14:paraId="5E5CA42C" w14:textId="72B1628A" w:rsidR="00080CB7" w:rsidRPr="00FA2835" w:rsidRDefault="004A6FEF" w:rsidP="00985B6B">
            <w:pPr>
              <w:jc w:val="both"/>
              <w:rPr>
                <w:b/>
                <w:bCs/>
                <w:iCs/>
                <w:color w:val="EB3741"/>
                <w:sz w:val="20"/>
                <w:szCs w:val="20"/>
                <w:lang w:val="en-GB"/>
              </w:rPr>
            </w:pPr>
            <w:r>
              <w:rPr>
                <w:b/>
                <w:bCs/>
                <w:iCs/>
                <w:color w:val="EB3741"/>
                <w:sz w:val="20"/>
                <w:szCs w:val="20"/>
                <w:lang w:val="en-GB"/>
              </w:rPr>
              <w:t>Rapport à</w:t>
            </w:r>
            <w:r w:rsidR="00080CB7" w:rsidRPr="00FA2835">
              <w:rPr>
                <w:b/>
                <w:bCs/>
                <w:iCs/>
                <w:color w:val="EB3741"/>
                <w:sz w:val="20"/>
                <w:szCs w:val="20"/>
                <w:lang w:val="en-GB"/>
              </w:rPr>
              <w:t>*:</w:t>
            </w:r>
          </w:p>
        </w:tc>
      </w:tr>
      <w:tr w:rsidR="00080CB7" w:rsidRPr="00890C2E" w14:paraId="4C9AA4BD" w14:textId="77777777" w:rsidTr="00FA2835">
        <w:tc>
          <w:tcPr>
            <w:tcW w:w="1555" w:type="dxa"/>
          </w:tcPr>
          <w:p w14:paraId="431B1D82" w14:textId="77777777" w:rsidR="00C8121F" w:rsidRPr="00C8121F" w:rsidRDefault="00C8121F" w:rsidP="00C8121F">
            <w:pPr>
              <w:spacing w:line="360" w:lineRule="auto"/>
              <w:jc w:val="both"/>
              <w:rPr>
                <w:iCs/>
                <w:sz w:val="20"/>
                <w:szCs w:val="20"/>
                <w:lang w:val="fr-FR"/>
              </w:rPr>
            </w:pPr>
            <w:r w:rsidRPr="00C8121F">
              <w:rPr>
                <w:iCs/>
                <w:sz w:val="20"/>
                <w:szCs w:val="20"/>
                <w:lang w:val="fr-FR"/>
              </w:rPr>
              <w:t xml:space="preserve">P. ex. </w:t>
            </w:r>
          </w:p>
          <w:p w14:paraId="2FE591FA" w14:textId="1C9062C7" w:rsidR="00080CB7" w:rsidRPr="00C8121F" w:rsidRDefault="00C8121F" w:rsidP="00C8121F">
            <w:pPr>
              <w:spacing w:line="360" w:lineRule="auto"/>
              <w:jc w:val="both"/>
              <w:rPr>
                <w:iCs/>
                <w:sz w:val="20"/>
                <w:szCs w:val="20"/>
                <w:lang w:val="fr-FR"/>
              </w:rPr>
            </w:pPr>
            <w:r>
              <w:rPr>
                <w:iCs/>
                <w:sz w:val="20"/>
                <w:szCs w:val="20"/>
                <w:lang w:val="fr-FR"/>
              </w:rPr>
              <w:t xml:space="preserve">Séances PSS  structurées après l’école </w:t>
            </w:r>
          </w:p>
        </w:tc>
        <w:tc>
          <w:tcPr>
            <w:tcW w:w="2185" w:type="dxa"/>
          </w:tcPr>
          <w:p w14:paraId="151DED7A" w14:textId="2BA51ACF" w:rsidR="00080CB7" w:rsidRPr="00890C2E" w:rsidRDefault="001B5494" w:rsidP="00985B6B">
            <w:pPr>
              <w:spacing w:line="360" w:lineRule="auto"/>
              <w:jc w:val="both"/>
              <w:rPr>
                <w:iCs/>
                <w:sz w:val="20"/>
                <w:szCs w:val="20"/>
                <w:lang w:val="en-GB"/>
              </w:rPr>
            </w:pPr>
            <w:r>
              <w:rPr>
                <w:iCs/>
                <w:sz w:val="20"/>
                <w:szCs w:val="20"/>
                <w:lang w:val="en-GB"/>
              </w:rPr>
              <w:t>École</w:t>
            </w:r>
          </w:p>
          <w:p w14:paraId="382C2A00" w14:textId="09B297EA" w:rsidR="00080CB7" w:rsidRPr="00890C2E" w:rsidRDefault="001B5494" w:rsidP="00985B6B">
            <w:pPr>
              <w:spacing w:line="360" w:lineRule="auto"/>
              <w:jc w:val="both"/>
              <w:rPr>
                <w:iCs/>
                <w:sz w:val="20"/>
                <w:szCs w:val="20"/>
                <w:lang w:val="en-GB"/>
              </w:rPr>
            </w:pPr>
            <w:r>
              <w:rPr>
                <w:iCs/>
                <w:sz w:val="20"/>
                <w:szCs w:val="20"/>
                <w:lang w:val="en-GB"/>
              </w:rPr>
              <w:t>École</w:t>
            </w:r>
          </w:p>
          <w:p w14:paraId="1154232F" w14:textId="33C098A6" w:rsidR="00080CB7" w:rsidRPr="00890C2E" w:rsidRDefault="001B5494" w:rsidP="00985B6B">
            <w:pPr>
              <w:spacing w:line="360" w:lineRule="auto"/>
              <w:jc w:val="both"/>
              <w:rPr>
                <w:iCs/>
                <w:sz w:val="20"/>
                <w:szCs w:val="20"/>
                <w:lang w:val="en-GB"/>
              </w:rPr>
            </w:pPr>
            <w:r>
              <w:rPr>
                <w:iCs/>
                <w:sz w:val="20"/>
                <w:szCs w:val="20"/>
                <w:lang w:val="en-GB"/>
              </w:rPr>
              <w:t>École</w:t>
            </w:r>
          </w:p>
          <w:p w14:paraId="63D68C1A" w14:textId="4AB893C9" w:rsidR="00080CB7" w:rsidRPr="00890C2E" w:rsidRDefault="001B5494" w:rsidP="00985B6B">
            <w:pPr>
              <w:spacing w:line="360" w:lineRule="auto"/>
              <w:jc w:val="both"/>
              <w:rPr>
                <w:iCs/>
                <w:sz w:val="20"/>
                <w:szCs w:val="20"/>
                <w:lang w:val="en-GB"/>
              </w:rPr>
            </w:pPr>
            <w:r>
              <w:rPr>
                <w:iCs/>
                <w:sz w:val="20"/>
                <w:szCs w:val="20"/>
                <w:lang w:val="en-GB"/>
              </w:rPr>
              <w:t>École</w:t>
            </w:r>
          </w:p>
        </w:tc>
        <w:tc>
          <w:tcPr>
            <w:tcW w:w="2067" w:type="dxa"/>
          </w:tcPr>
          <w:p w14:paraId="38C9ACF8" w14:textId="77777777" w:rsidR="00080CB7" w:rsidRPr="00890C2E" w:rsidRDefault="00080CB7" w:rsidP="00985B6B">
            <w:pPr>
              <w:spacing w:line="360" w:lineRule="auto"/>
              <w:jc w:val="both"/>
              <w:rPr>
                <w:iCs/>
                <w:sz w:val="20"/>
                <w:szCs w:val="20"/>
                <w:lang w:val="en-GB"/>
              </w:rPr>
            </w:pPr>
            <w:r w:rsidRPr="00890C2E">
              <w:rPr>
                <w:iCs/>
                <w:sz w:val="20"/>
                <w:szCs w:val="20"/>
                <w:lang w:val="en-GB"/>
              </w:rPr>
              <w:t>6-14</w:t>
            </w:r>
          </w:p>
          <w:p w14:paraId="2BFD72AC" w14:textId="77777777" w:rsidR="00080CB7" w:rsidRPr="00890C2E" w:rsidRDefault="00080CB7" w:rsidP="00985B6B">
            <w:pPr>
              <w:spacing w:line="360" w:lineRule="auto"/>
              <w:jc w:val="both"/>
              <w:rPr>
                <w:iCs/>
                <w:sz w:val="20"/>
                <w:szCs w:val="20"/>
                <w:lang w:val="en-GB"/>
              </w:rPr>
            </w:pPr>
            <w:r w:rsidRPr="00890C2E">
              <w:rPr>
                <w:iCs/>
                <w:sz w:val="20"/>
                <w:szCs w:val="20"/>
                <w:lang w:val="en-GB"/>
              </w:rPr>
              <w:t>6-14</w:t>
            </w:r>
          </w:p>
          <w:p w14:paraId="3524FC63" w14:textId="77777777" w:rsidR="00080CB7" w:rsidRPr="00890C2E" w:rsidRDefault="00080CB7" w:rsidP="00985B6B">
            <w:pPr>
              <w:spacing w:line="360" w:lineRule="auto"/>
              <w:jc w:val="both"/>
              <w:rPr>
                <w:iCs/>
                <w:sz w:val="20"/>
                <w:szCs w:val="20"/>
                <w:lang w:val="en-GB"/>
              </w:rPr>
            </w:pPr>
            <w:r w:rsidRPr="00890C2E">
              <w:rPr>
                <w:iCs/>
                <w:sz w:val="20"/>
                <w:szCs w:val="20"/>
                <w:lang w:val="en-GB"/>
              </w:rPr>
              <w:t>6-14</w:t>
            </w:r>
          </w:p>
          <w:p w14:paraId="66F33BE0" w14:textId="77777777" w:rsidR="00080CB7" w:rsidRPr="00890C2E" w:rsidRDefault="00080CB7" w:rsidP="00985B6B">
            <w:pPr>
              <w:spacing w:line="360" w:lineRule="auto"/>
              <w:jc w:val="both"/>
              <w:rPr>
                <w:iCs/>
                <w:sz w:val="20"/>
                <w:szCs w:val="20"/>
                <w:lang w:val="en-GB"/>
              </w:rPr>
            </w:pPr>
            <w:r w:rsidRPr="00890C2E">
              <w:rPr>
                <w:iCs/>
                <w:sz w:val="20"/>
                <w:szCs w:val="20"/>
                <w:lang w:val="en-GB"/>
              </w:rPr>
              <w:t>15-18</w:t>
            </w:r>
          </w:p>
        </w:tc>
        <w:tc>
          <w:tcPr>
            <w:tcW w:w="1673" w:type="dxa"/>
          </w:tcPr>
          <w:p w14:paraId="1C4CFF62" w14:textId="77777777" w:rsidR="00080CB7" w:rsidRPr="00890C2E" w:rsidRDefault="00080CB7" w:rsidP="00985B6B">
            <w:pPr>
              <w:spacing w:line="360" w:lineRule="auto"/>
              <w:jc w:val="both"/>
              <w:rPr>
                <w:iCs/>
                <w:sz w:val="20"/>
                <w:szCs w:val="20"/>
                <w:lang w:val="en-GB"/>
              </w:rPr>
            </w:pPr>
            <w:r w:rsidRPr="00890C2E">
              <w:rPr>
                <w:iCs/>
                <w:sz w:val="20"/>
                <w:szCs w:val="20"/>
                <w:lang w:val="en-GB"/>
              </w:rPr>
              <w:t>Education</w:t>
            </w:r>
          </w:p>
          <w:p w14:paraId="50EE0182" w14:textId="77777777" w:rsidR="00080CB7" w:rsidRPr="00890C2E" w:rsidRDefault="00080CB7" w:rsidP="00985B6B">
            <w:pPr>
              <w:spacing w:line="360" w:lineRule="auto"/>
              <w:jc w:val="both"/>
              <w:rPr>
                <w:iCs/>
                <w:sz w:val="20"/>
                <w:szCs w:val="20"/>
                <w:lang w:val="en-GB"/>
              </w:rPr>
            </w:pPr>
            <w:r w:rsidRPr="00890C2E">
              <w:rPr>
                <w:iCs/>
                <w:sz w:val="20"/>
                <w:szCs w:val="20"/>
                <w:lang w:val="en-GB"/>
              </w:rPr>
              <w:t>C.P.</w:t>
            </w:r>
          </w:p>
          <w:p w14:paraId="55BCA6D3" w14:textId="77777777" w:rsidR="00080CB7" w:rsidRPr="00890C2E" w:rsidRDefault="00080CB7" w:rsidP="00985B6B">
            <w:pPr>
              <w:spacing w:line="360" w:lineRule="auto"/>
              <w:jc w:val="both"/>
              <w:rPr>
                <w:iCs/>
                <w:sz w:val="20"/>
                <w:szCs w:val="20"/>
                <w:lang w:val="en-GB"/>
              </w:rPr>
            </w:pPr>
            <w:r w:rsidRPr="00890C2E">
              <w:rPr>
                <w:iCs/>
                <w:sz w:val="20"/>
                <w:szCs w:val="20"/>
                <w:lang w:val="en-GB"/>
              </w:rPr>
              <w:t>C.P.</w:t>
            </w:r>
          </w:p>
          <w:p w14:paraId="4158DB3F" w14:textId="77777777" w:rsidR="00080CB7" w:rsidRPr="00890C2E" w:rsidRDefault="00080CB7" w:rsidP="00985B6B">
            <w:pPr>
              <w:spacing w:line="360" w:lineRule="auto"/>
              <w:jc w:val="both"/>
              <w:rPr>
                <w:iCs/>
                <w:sz w:val="20"/>
                <w:szCs w:val="20"/>
                <w:lang w:val="en-GB"/>
              </w:rPr>
            </w:pPr>
            <w:r w:rsidRPr="00890C2E">
              <w:rPr>
                <w:iCs/>
                <w:sz w:val="20"/>
                <w:szCs w:val="20"/>
                <w:lang w:val="en-GB"/>
              </w:rPr>
              <w:t>C.P.</w:t>
            </w:r>
          </w:p>
        </w:tc>
        <w:tc>
          <w:tcPr>
            <w:tcW w:w="1870" w:type="dxa"/>
          </w:tcPr>
          <w:p w14:paraId="08DFDDA0" w14:textId="77777777" w:rsidR="00080CB7" w:rsidRPr="00890C2E" w:rsidRDefault="00080CB7" w:rsidP="00985B6B">
            <w:pPr>
              <w:spacing w:line="360" w:lineRule="auto"/>
              <w:jc w:val="both"/>
              <w:rPr>
                <w:iCs/>
                <w:sz w:val="20"/>
                <w:szCs w:val="20"/>
                <w:lang w:val="en-GB"/>
              </w:rPr>
            </w:pPr>
            <w:r w:rsidRPr="00890C2E">
              <w:rPr>
                <w:iCs/>
                <w:sz w:val="20"/>
                <w:szCs w:val="20"/>
                <w:lang w:val="en-GB"/>
              </w:rPr>
              <w:t>Education</w:t>
            </w:r>
          </w:p>
          <w:p w14:paraId="0F45FF85" w14:textId="77777777" w:rsidR="00080CB7" w:rsidRPr="00890C2E" w:rsidRDefault="00080CB7" w:rsidP="00985B6B">
            <w:pPr>
              <w:spacing w:line="360" w:lineRule="auto"/>
              <w:jc w:val="both"/>
              <w:rPr>
                <w:iCs/>
                <w:sz w:val="20"/>
                <w:szCs w:val="20"/>
                <w:lang w:val="en-GB"/>
              </w:rPr>
            </w:pPr>
            <w:r w:rsidRPr="00890C2E">
              <w:rPr>
                <w:iCs/>
                <w:sz w:val="20"/>
                <w:szCs w:val="20"/>
                <w:lang w:val="en-GB"/>
              </w:rPr>
              <w:t>Education</w:t>
            </w:r>
          </w:p>
          <w:p w14:paraId="0B68543B" w14:textId="77777777" w:rsidR="00080CB7" w:rsidRPr="00890C2E" w:rsidRDefault="00080CB7" w:rsidP="00985B6B">
            <w:pPr>
              <w:spacing w:line="360" w:lineRule="auto"/>
              <w:jc w:val="both"/>
              <w:rPr>
                <w:iCs/>
                <w:sz w:val="20"/>
                <w:szCs w:val="20"/>
                <w:lang w:val="en-GB"/>
              </w:rPr>
            </w:pPr>
            <w:r w:rsidRPr="00890C2E">
              <w:rPr>
                <w:iCs/>
                <w:sz w:val="20"/>
                <w:szCs w:val="20"/>
                <w:lang w:val="en-GB"/>
              </w:rPr>
              <w:t>C.P.</w:t>
            </w:r>
          </w:p>
          <w:p w14:paraId="3C7416C7" w14:textId="77777777" w:rsidR="00080CB7" w:rsidRPr="00890C2E" w:rsidRDefault="00080CB7" w:rsidP="00985B6B">
            <w:pPr>
              <w:spacing w:line="360" w:lineRule="auto"/>
              <w:jc w:val="both"/>
              <w:rPr>
                <w:iCs/>
                <w:sz w:val="20"/>
                <w:szCs w:val="20"/>
                <w:lang w:val="en-GB"/>
              </w:rPr>
            </w:pPr>
            <w:r w:rsidRPr="00890C2E">
              <w:rPr>
                <w:iCs/>
                <w:sz w:val="20"/>
                <w:szCs w:val="20"/>
                <w:lang w:val="en-GB"/>
              </w:rPr>
              <w:t>C.P.</w:t>
            </w:r>
          </w:p>
        </w:tc>
      </w:tr>
    </w:tbl>
    <w:p w14:paraId="46A98A6D" w14:textId="40FE014B" w:rsidR="00C8121F" w:rsidRPr="001F7E3F" w:rsidRDefault="00C8121F" w:rsidP="00C8121F">
      <w:pPr>
        <w:ind w:left="567"/>
        <w:jc w:val="both"/>
        <w:rPr>
          <w:i/>
          <w:sz w:val="20"/>
          <w:szCs w:val="20"/>
          <w:lang w:val="fr-FR"/>
        </w:rPr>
      </w:pPr>
      <w:r w:rsidRPr="001F7E3F">
        <w:rPr>
          <w:i/>
          <w:sz w:val="20"/>
          <w:szCs w:val="20"/>
          <w:lang w:val="fr-FR"/>
        </w:rPr>
        <w:t xml:space="preserve">*Il s’agit d’un exemple seulement. Les secteurs de pays sont les mieux placés pour déterminer les mécanismes de surveillance et de déclaration qui fonctionnent le mieux pour le secteur et les partenaires. Il est important de communiquer avec les partenaires, p. </w:t>
      </w:r>
      <w:r w:rsidR="00222748" w:rsidRPr="001F7E3F">
        <w:rPr>
          <w:i/>
          <w:sz w:val="20"/>
          <w:szCs w:val="20"/>
          <w:lang w:val="fr-FR"/>
        </w:rPr>
        <w:t>ex. :</w:t>
      </w:r>
    </w:p>
    <w:p w14:paraId="5EC35CDD" w14:textId="3A189792" w:rsidR="00913A3E" w:rsidRPr="001F7E3F" w:rsidRDefault="00C8121F" w:rsidP="00C8121F">
      <w:pPr>
        <w:ind w:left="567"/>
        <w:jc w:val="both"/>
        <w:rPr>
          <w:rFonts w:ascii="Calibri" w:eastAsia="Times New Roman" w:hAnsi="Calibri" w:cs="Times New Roman"/>
          <w:color w:val="000000"/>
          <w:sz w:val="20"/>
          <w:szCs w:val="20"/>
          <w:lang w:val="fr-FR"/>
        </w:rPr>
      </w:pPr>
      <w:r w:rsidRPr="001F7E3F">
        <w:rPr>
          <w:i/>
          <w:sz w:val="20"/>
          <w:szCs w:val="20"/>
          <w:lang w:val="fr-FR"/>
        </w:rPr>
        <w:t>Conseil principal dans les rapports 4W : Encourager les deux secteurs à utiliser des codes d’emplacement communs dans les 4W, tels que les codes EMIS pour identifier et surveiller les activités intersectorielles qui sont menées dans les mêmes écoles.</w:t>
      </w:r>
    </w:p>
    <w:p w14:paraId="406F7371" w14:textId="3983BB93" w:rsidR="00080CB7" w:rsidRPr="003A19AB" w:rsidRDefault="00080CB7" w:rsidP="00080CB7">
      <w:pPr>
        <w:jc w:val="both"/>
        <w:rPr>
          <w:iCs/>
          <w:color w:val="EB3741"/>
          <w:lang w:val="fr-FR"/>
        </w:rPr>
      </w:pPr>
      <w:r w:rsidRPr="00C8121F">
        <w:rPr>
          <w:b/>
          <w:bCs/>
          <w:iCs/>
          <w:color w:val="EB3741"/>
          <w:lang w:val="fr-FR"/>
        </w:rPr>
        <w:t>Annex</w:t>
      </w:r>
      <w:r w:rsidR="00C8121F" w:rsidRPr="00C8121F">
        <w:rPr>
          <w:b/>
          <w:bCs/>
          <w:iCs/>
          <w:color w:val="EB3741"/>
          <w:lang w:val="fr-FR"/>
        </w:rPr>
        <w:t>e</w:t>
      </w:r>
      <w:r w:rsidRPr="00C8121F">
        <w:rPr>
          <w:b/>
          <w:bCs/>
          <w:iCs/>
          <w:color w:val="EB3741"/>
          <w:lang w:val="fr-FR"/>
        </w:rPr>
        <w:t xml:space="preserve"> </w:t>
      </w:r>
      <w:r w:rsidR="00756E98">
        <w:rPr>
          <w:b/>
          <w:bCs/>
          <w:iCs/>
          <w:color w:val="EB3741"/>
          <w:lang w:val="fr-FR"/>
        </w:rPr>
        <w:t>13</w:t>
      </w:r>
      <w:r w:rsidRPr="00C8121F">
        <w:rPr>
          <w:b/>
          <w:bCs/>
          <w:iCs/>
          <w:color w:val="EB3741"/>
          <w:lang w:val="fr-FR"/>
        </w:rPr>
        <w:t>a</w:t>
      </w:r>
      <w:r w:rsidR="00C8121F" w:rsidRPr="00C8121F">
        <w:rPr>
          <w:b/>
          <w:bCs/>
          <w:iCs/>
          <w:color w:val="EB3741"/>
          <w:lang w:val="fr-FR"/>
        </w:rPr>
        <w:t xml:space="preserve"> </w:t>
      </w:r>
      <w:r w:rsidRPr="00C8121F">
        <w:rPr>
          <w:b/>
          <w:bCs/>
          <w:iCs/>
          <w:color w:val="EB3741"/>
          <w:lang w:val="fr-FR"/>
        </w:rPr>
        <w:t>:</w:t>
      </w:r>
      <w:r w:rsidRPr="00C8121F">
        <w:rPr>
          <w:iCs/>
          <w:color w:val="EB3741"/>
          <w:lang w:val="fr-FR"/>
        </w:rPr>
        <w:t xml:space="preserve"> </w:t>
      </w:r>
      <w:r w:rsidR="00C8121F" w:rsidRPr="00C8121F">
        <w:rPr>
          <w:iCs/>
          <w:color w:val="EB3741"/>
          <w:lang w:val="fr-FR"/>
        </w:rPr>
        <w:t>Dans l’or</w:t>
      </w:r>
      <w:r w:rsidR="00C8121F">
        <w:rPr>
          <w:iCs/>
          <w:color w:val="EB3741"/>
          <w:lang w:val="fr-FR"/>
        </w:rPr>
        <w:t>ientation des indicateurs du HRP</w:t>
      </w:r>
      <w:r w:rsidR="00C8121F" w:rsidRPr="00C8121F">
        <w:rPr>
          <w:iCs/>
          <w:color w:val="EB3741"/>
          <w:lang w:val="fr-FR"/>
        </w:rPr>
        <w:t xml:space="preserve"> sectoriel, préciser quand faire rapport à l’autre secteur, par exemple les « conseils de déclaration ». Deux exemples adaptés de l’orientation des indicateurs de pays :    </w:t>
      </w:r>
    </w:p>
    <w:tbl>
      <w:tblPr>
        <w:tblW w:w="10490" w:type="dxa"/>
        <w:tblInd w:w="-10" w:type="dxa"/>
        <w:tblBorders>
          <w:top w:val="single" w:sz="12" w:space="0" w:color="EB3741"/>
          <w:left w:val="single" w:sz="12" w:space="0" w:color="EB3741"/>
          <w:bottom w:val="single" w:sz="12" w:space="0" w:color="EB3741"/>
          <w:right w:val="single" w:sz="12" w:space="0" w:color="EB3741"/>
          <w:insideH w:val="single" w:sz="12" w:space="0" w:color="EB3741"/>
          <w:insideV w:val="single" w:sz="12" w:space="0" w:color="EB3741"/>
        </w:tblBorders>
        <w:tblLayout w:type="fixed"/>
        <w:tblCellMar>
          <w:left w:w="0" w:type="dxa"/>
          <w:right w:w="0" w:type="dxa"/>
        </w:tblCellMar>
        <w:tblLook w:val="01E0" w:firstRow="1" w:lastRow="1" w:firstColumn="1" w:lastColumn="1" w:noHBand="0" w:noVBand="0"/>
      </w:tblPr>
      <w:tblGrid>
        <w:gridCol w:w="1134"/>
        <w:gridCol w:w="1134"/>
        <w:gridCol w:w="1134"/>
        <w:gridCol w:w="7088"/>
      </w:tblGrid>
      <w:tr w:rsidR="00080CB7" w:rsidRPr="00890C2E" w14:paraId="43B7FDBB" w14:textId="77777777" w:rsidTr="00FA2835">
        <w:trPr>
          <w:trHeight w:val="319"/>
        </w:trPr>
        <w:tc>
          <w:tcPr>
            <w:tcW w:w="1134" w:type="dxa"/>
            <w:shd w:val="clear" w:color="auto" w:fill="auto"/>
            <w:vAlign w:val="center"/>
            <w:hideMark/>
          </w:tcPr>
          <w:p w14:paraId="0EAC8FAB" w14:textId="77777777" w:rsidR="00080CB7" w:rsidRPr="00FA2835" w:rsidRDefault="00080CB7" w:rsidP="00FA2835">
            <w:pPr>
              <w:pStyle w:val="TableParagraph"/>
              <w:spacing w:before="9" w:line="290" w:lineRule="exact"/>
              <w:ind w:left="112"/>
              <w:jc w:val="center"/>
              <w:rPr>
                <w:b/>
                <w:color w:val="EB3741"/>
                <w:sz w:val="20"/>
                <w:szCs w:val="20"/>
              </w:rPr>
            </w:pPr>
            <w:r w:rsidRPr="00FA2835">
              <w:rPr>
                <w:b/>
                <w:color w:val="EB3741"/>
                <w:sz w:val="20"/>
                <w:szCs w:val="20"/>
              </w:rPr>
              <w:t>Activity Category</w:t>
            </w:r>
          </w:p>
        </w:tc>
        <w:tc>
          <w:tcPr>
            <w:tcW w:w="1134" w:type="dxa"/>
            <w:shd w:val="clear" w:color="auto" w:fill="auto"/>
            <w:vAlign w:val="center"/>
            <w:hideMark/>
          </w:tcPr>
          <w:p w14:paraId="0D104FE4" w14:textId="77777777" w:rsidR="00080CB7" w:rsidRPr="00FA2835" w:rsidRDefault="00080CB7" w:rsidP="00FA2835">
            <w:pPr>
              <w:pStyle w:val="TableParagraph"/>
              <w:spacing w:before="9" w:line="290" w:lineRule="exact"/>
              <w:ind w:left="112"/>
              <w:jc w:val="center"/>
              <w:rPr>
                <w:b/>
                <w:color w:val="EB3741"/>
                <w:sz w:val="20"/>
                <w:szCs w:val="20"/>
              </w:rPr>
            </w:pPr>
            <w:r w:rsidRPr="00FA2835">
              <w:rPr>
                <w:b/>
                <w:color w:val="EB3741"/>
                <w:sz w:val="20"/>
                <w:szCs w:val="20"/>
              </w:rPr>
              <w:t>Activity Description</w:t>
            </w:r>
          </w:p>
        </w:tc>
        <w:tc>
          <w:tcPr>
            <w:tcW w:w="1134" w:type="dxa"/>
            <w:shd w:val="clear" w:color="auto" w:fill="auto"/>
            <w:vAlign w:val="center"/>
            <w:hideMark/>
          </w:tcPr>
          <w:p w14:paraId="45D59D38" w14:textId="77777777" w:rsidR="00080CB7" w:rsidRPr="00FA2835" w:rsidRDefault="00080CB7" w:rsidP="00FA2835">
            <w:pPr>
              <w:pStyle w:val="TableParagraph"/>
              <w:spacing w:before="9" w:line="290" w:lineRule="exact"/>
              <w:ind w:left="112"/>
              <w:jc w:val="center"/>
              <w:rPr>
                <w:b/>
                <w:color w:val="EB3741"/>
                <w:sz w:val="20"/>
                <w:szCs w:val="20"/>
              </w:rPr>
            </w:pPr>
            <w:r w:rsidRPr="00FA2835">
              <w:rPr>
                <w:b/>
                <w:color w:val="EB3741"/>
                <w:sz w:val="20"/>
                <w:szCs w:val="20"/>
              </w:rPr>
              <w:t>Activity Indicator</w:t>
            </w:r>
          </w:p>
        </w:tc>
        <w:tc>
          <w:tcPr>
            <w:tcW w:w="7088" w:type="dxa"/>
            <w:shd w:val="clear" w:color="auto" w:fill="auto"/>
            <w:vAlign w:val="center"/>
            <w:hideMark/>
          </w:tcPr>
          <w:p w14:paraId="2EFD3A72" w14:textId="77777777" w:rsidR="00080CB7" w:rsidRPr="00FA2835" w:rsidRDefault="00080CB7" w:rsidP="00FA2835">
            <w:pPr>
              <w:pStyle w:val="TableParagraph"/>
              <w:spacing w:before="9" w:line="290" w:lineRule="exact"/>
              <w:ind w:left="112"/>
              <w:jc w:val="center"/>
              <w:rPr>
                <w:b/>
                <w:color w:val="EB3741"/>
                <w:sz w:val="20"/>
                <w:szCs w:val="20"/>
              </w:rPr>
            </w:pPr>
            <w:r w:rsidRPr="00FA2835">
              <w:rPr>
                <w:b/>
                <w:color w:val="EB3741"/>
                <w:sz w:val="20"/>
                <w:szCs w:val="20"/>
              </w:rPr>
              <w:t>Indicator Definition &amp; Rationale for use</w:t>
            </w:r>
          </w:p>
        </w:tc>
      </w:tr>
      <w:tr w:rsidR="00080CB7" w:rsidRPr="00756E98" w14:paraId="46DC0543" w14:textId="77777777" w:rsidTr="002D0302">
        <w:trPr>
          <w:trHeight w:val="254"/>
        </w:trPr>
        <w:tc>
          <w:tcPr>
            <w:tcW w:w="1134" w:type="dxa"/>
            <w:shd w:val="clear" w:color="auto" w:fill="FFFFFF" w:themeFill="background1"/>
          </w:tcPr>
          <w:p w14:paraId="62A6EB4D" w14:textId="1FC38A90" w:rsidR="004720ED" w:rsidRPr="004720ED" w:rsidRDefault="004720ED" w:rsidP="004720ED">
            <w:pPr>
              <w:pStyle w:val="TableParagraph"/>
              <w:spacing w:line="268" w:lineRule="exact"/>
              <w:rPr>
                <w:b/>
                <w:sz w:val="18"/>
                <w:szCs w:val="18"/>
                <w:lang w:val="fr-FR"/>
              </w:rPr>
            </w:pPr>
            <w:r>
              <w:rPr>
                <w:b/>
                <w:sz w:val="18"/>
                <w:szCs w:val="18"/>
                <w:lang w:val="fr-FR"/>
              </w:rPr>
              <w:t>PSS</w:t>
            </w:r>
          </w:p>
          <w:p w14:paraId="389DD3BF" w14:textId="77777777" w:rsidR="004720ED" w:rsidRPr="004720ED" w:rsidRDefault="004720ED" w:rsidP="004720ED">
            <w:pPr>
              <w:pStyle w:val="TableParagraph"/>
              <w:spacing w:line="268" w:lineRule="exact"/>
              <w:rPr>
                <w:b/>
                <w:sz w:val="18"/>
                <w:szCs w:val="18"/>
                <w:lang w:val="fr-FR"/>
              </w:rPr>
            </w:pPr>
          </w:p>
          <w:p w14:paraId="63505056" w14:textId="7493F1B5" w:rsidR="00080CB7" w:rsidRPr="004720ED" w:rsidRDefault="004720ED" w:rsidP="004720ED">
            <w:pPr>
              <w:pStyle w:val="TableParagraph"/>
              <w:spacing w:line="268" w:lineRule="exact"/>
              <w:rPr>
                <w:i/>
                <w:sz w:val="18"/>
                <w:szCs w:val="18"/>
                <w:lang w:val="fr-FR"/>
              </w:rPr>
            </w:pPr>
            <w:r w:rsidRPr="004720ED">
              <w:rPr>
                <w:i/>
                <w:sz w:val="18"/>
                <w:szCs w:val="18"/>
                <w:lang w:val="fr-FR"/>
              </w:rPr>
              <w:t xml:space="preserve">Mise en œuvre par le </w:t>
            </w:r>
            <w:r w:rsidR="007E21CD">
              <w:rPr>
                <w:i/>
                <w:sz w:val="18"/>
                <w:szCs w:val="18"/>
                <w:lang w:val="fr-FR"/>
              </w:rPr>
              <w:t>PE</w:t>
            </w:r>
            <w:r w:rsidRPr="004720ED">
              <w:rPr>
                <w:i/>
                <w:sz w:val="18"/>
                <w:szCs w:val="18"/>
                <w:lang w:val="fr-FR"/>
              </w:rPr>
              <w:t xml:space="preserve"> </w:t>
            </w:r>
          </w:p>
        </w:tc>
        <w:tc>
          <w:tcPr>
            <w:tcW w:w="1134" w:type="dxa"/>
            <w:shd w:val="clear" w:color="auto" w:fill="FFFFFF" w:themeFill="background1"/>
            <w:hideMark/>
          </w:tcPr>
          <w:p w14:paraId="1B26F16D" w14:textId="1E0D0FB9" w:rsidR="00080CB7" w:rsidRPr="004720ED" w:rsidRDefault="004720ED" w:rsidP="00985B6B">
            <w:pPr>
              <w:pStyle w:val="TableParagraph"/>
              <w:spacing w:line="256" w:lineRule="auto"/>
              <w:ind w:right="-8"/>
              <w:rPr>
                <w:bCs/>
                <w:sz w:val="18"/>
                <w:szCs w:val="18"/>
                <w:lang w:val="fr-FR"/>
              </w:rPr>
            </w:pPr>
            <w:r w:rsidRPr="004720ED">
              <w:rPr>
                <w:bCs/>
                <w:sz w:val="18"/>
                <w:szCs w:val="18"/>
                <w:lang w:val="fr-FR"/>
              </w:rPr>
              <w:t xml:space="preserve">Fournir des activités de soutien psychosocial aux garçons et aux filles </w:t>
            </w:r>
          </w:p>
        </w:tc>
        <w:tc>
          <w:tcPr>
            <w:tcW w:w="1134" w:type="dxa"/>
            <w:shd w:val="clear" w:color="auto" w:fill="FFFFFF" w:themeFill="background1"/>
            <w:hideMark/>
          </w:tcPr>
          <w:p w14:paraId="40089194" w14:textId="12C4FA2D" w:rsidR="00080CB7" w:rsidRPr="004720ED" w:rsidRDefault="004720ED" w:rsidP="00985B6B">
            <w:pPr>
              <w:pStyle w:val="TableParagraph"/>
              <w:spacing w:line="256" w:lineRule="auto"/>
              <w:ind w:right="-6"/>
              <w:rPr>
                <w:sz w:val="18"/>
                <w:szCs w:val="18"/>
                <w:lang w:val="fr-FR"/>
              </w:rPr>
            </w:pPr>
            <w:r w:rsidRPr="004720ED">
              <w:rPr>
                <w:w w:val="105"/>
                <w:sz w:val="18"/>
                <w:szCs w:val="18"/>
                <w:lang w:val="fr-FR"/>
              </w:rPr>
              <w:t>Nombre de filles/garçons bénéficiant d’activités psychosociales</w:t>
            </w:r>
          </w:p>
        </w:tc>
        <w:tc>
          <w:tcPr>
            <w:tcW w:w="7088" w:type="dxa"/>
            <w:shd w:val="clear" w:color="auto" w:fill="FFFFFF" w:themeFill="background1"/>
            <w:hideMark/>
          </w:tcPr>
          <w:p w14:paraId="41B20F52" w14:textId="398014BA" w:rsidR="004720ED" w:rsidRPr="004720ED" w:rsidRDefault="004720ED" w:rsidP="004720ED">
            <w:pPr>
              <w:pStyle w:val="TableParagraph"/>
              <w:spacing w:line="256" w:lineRule="auto"/>
              <w:ind w:right="389"/>
              <w:rPr>
                <w:sz w:val="18"/>
                <w:szCs w:val="18"/>
                <w:lang w:val="fr-FR"/>
              </w:rPr>
            </w:pPr>
            <w:r w:rsidRPr="004720ED">
              <w:rPr>
                <w:sz w:val="18"/>
                <w:szCs w:val="18"/>
                <w:lang w:val="fr-FR"/>
              </w:rPr>
              <w:t>Enregistrez le nombre de filles/garçons qui ont</w:t>
            </w:r>
            <w:r>
              <w:rPr>
                <w:sz w:val="18"/>
                <w:szCs w:val="18"/>
                <w:lang w:val="fr-FR"/>
              </w:rPr>
              <w:t xml:space="preserve"> été inscrits à des </w:t>
            </w:r>
            <w:r>
              <w:rPr>
                <w:sz w:val="18"/>
                <w:szCs w:val="18"/>
                <w:highlight w:val="yellow"/>
                <w:lang w:val="fr-FR"/>
              </w:rPr>
              <w:t>espaces convenables pour les enfants et des centres pour jeunes / ou d’autres espaces ouvertes dans la communauté</w:t>
            </w:r>
            <w:r>
              <w:rPr>
                <w:sz w:val="18"/>
                <w:szCs w:val="18"/>
                <w:lang w:val="fr-FR"/>
              </w:rPr>
              <w:t xml:space="preserve"> espaces convenables pour l</w:t>
            </w:r>
            <w:r w:rsidRPr="004720ED">
              <w:rPr>
                <w:sz w:val="18"/>
                <w:szCs w:val="18"/>
                <w:lang w:val="fr-FR"/>
              </w:rPr>
              <w:t>es enfants et des centres pour jeunes / ou d’autres espaces ouvert</w:t>
            </w:r>
            <w:r>
              <w:rPr>
                <w:sz w:val="18"/>
                <w:szCs w:val="18"/>
                <w:lang w:val="fr-FR"/>
              </w:rPr>
              <w:t>e</w:t>
            </w:r>
            <w:r w:rsidRPr="004720ED">
              <w:rPr>
                <w:sz w:val="18"/>
                <w:szCs w:val="18"/>
                <w:lang w:val="fr-FR"/>
              </w:rPr>
              <w:t>s dans la communauté et participent à des programmes psychosociaux structurés et soutenus et de protection de l’enfance.</w:t>
            </w:r>
          </w:p>
          <w:p w14:paraId="23C5B056" w14:textId="1858B669" w:rsidR="000158F8" w:rsidRPr="00890C2E" w:rsidRDefault="004720ED" w:rsidP="000158F8">
            <w:pPr>
              <w:pStyle w:val="TableParagraph"/>
              <w:spacing w:line="256" w:lineRule="auto"/>
              <w:ind w:right="389"/>
              <w:rPr>
                <w:b/>
                <w:sz w:val="18"/>
                <w:szCs w:val="18"/>
              </w:rPr>
            </w:pPr>
            <w:r w:rsidRPr="000158F8">
              <w:rPr>
                <w:b/>
                <w:sz w:val="18"/>
                <w:szCs w:val="18"/>
              </w:rPr>
              <w:t>Note</w:t>
            </w:r>
            <w:r w:rsidRPr="004720ED">
              <w:rPr>
                <w:sz w:val="18"/>
                <w:szCs w:val="18"/>
              </w:rPr>
              <w:t>:</w:t>
            </w:r>
            <w:r>
              <w:rPr>
                <w:sz w:val="18"/>
                <w:szCs w:val="18"/>
              </w:rPr>
              <w:t xml:space="preserve">     </w:t>
            </w:r>
          </w:p>
          <w:p w14:paraId="720A9759" w14:textId="68ACF1CB" w:rsidR="00080CB7" w:rsidRPr="00890C2E" w:rsidRDefault="00080CB7" w:rsidP="00985B6B">
            <w:pPr>
              <w:pStyle w:val="TableParagraph"/>
              <w:spacing w:line="256" w:lineRule="auto"/>
              <w:rPr>
                <w:b/>
                <w:sz w:val="18"/>
                <w:szCs w:val="18"/>
              </w:rPr>
            </w:pPr>
          </w:p>
          <w:p w14:paraId="398F257F" w14:textId="6F0D18ED" w:rsidR="000158F8" w:rsidRPr="000158F8" w:rsidRDefault="000158F8" w:rsidP="000158F8">
            <w:pPr>
              <w:pStyle w:val="TableParagraph"/>
              <w:numPr>
                <w:ilvl w:val="0"/>
                <w:numId w:val="29"/>
              </w:numPr>
              <w:tabs>
                <w:tab w:val="left" w:pos="468"/>
              </w:tabs>
              <w:spacing w:before="1" w:line="256" w:lineRule="auto"/>
              <w:ind w:right="145"/>
              <w:rPr>
                <w:i/>
                <w:sz w:val="18"/>
                <w:szCs w:val="18"/>
                <w:lang w:val="fr-FR"/>
              </w:rPr>
            </w:pPr>
            <w:r w:rsidRPr="000158F8">
              <w:rPr>
                <w:i/>
                <w:sz w:val="18"/>
                <w:szCs w:val="18"/>
                <w:lang w:val="fr-FR"/>
              </w:rPr>
              <w:t>Les programmes structurés comprennent un programme d’études et/ou des plans d’activités de session.</w:t>
            </w:r>
          </w:p>
          <w:p w14:paraId="2AA020FA" w14:textId="794C7499" w:rsidR="000158F8" w:rsidRPr="000158F8" w:rsidRDefault="000158F8" w:rsidP="000158F8">
            <w:pPr>
              <w:pStyle w:val="TableParagraph"/>
              <w:numPr>
                <w:ilvl w:val="0"/>
                <w:numId w:val="29"/>
              </w:numPr>
              <w:tabs>
                <w:tab w:val="left" w:pos="468"/>
              </w:tabs>
              <w:spacing w:before="1" w:line="256" w:lineRule="auto"/>
              <w:ind w:right="145"/>
              <w:rPr>
                <w:i/>
                <w:sz w:val="18"/>
                <w:szCs w:val="18"/>
                <w:lang w:val="fr-FR"/>
              </w:rPr>
            </w:pPr>
            <w:r w:rsidRPr="000158F8">
              <w:rPr>
                <w:i/>
                <w:sz w:val="18"/>
                <w:szCs w:val="18"/>
                <w:lang w:val="fr-FR"/>
              </w:rPr>
              <w:t>Les programmes soutenus font référence à a) les programmes en cours et</w:t>
            </w:r>
            <w:r>
              <w:rPr>
                <w:i/>
                <w:sz w:val="18"/>
                <w:szCs w:val="18"/>
                <w:lang w:val="fr-FR"/>
              </w:rPr>
              <w:t xml:space="preserve"> </w:t>
            </w:r>
            <w:r w:rsidRPr="000158F8">
              <w:rPr>
                <w:i/>
                <w:sz w:val="18"/>
                <w:szCs w:val="18"/>
                <w:lang w:val="fr-FR"/>
              </w:rPr>
              <w:t xml:space="preserve">b) la présence régulière d’un enfant sur une période donnée, par exemple 2 fois par semaine sur 3 mois. Les exigences minimales devraient être clarifiées par les </w:t>
            </w:r>
            <w:r w:rsidR="007E21CD">
              <w:rPr>
                <w:i/>
                <w:sz w:val="18"/>
                <w:szCs w:val="18"/>
                <w:lang w:val="fr-FR"/>
              </w:rPr>
              <w:t>PE</w:t>
            </w:r>
            <w:r>
              <w:rPr>
                <w:i/>
                <w:sz w:val="18"/>
                <w:szCs w:val="18"/>
                <w:lang w:val="fr-FR"/>
              </w:rPr>
              <w:t>W</w:t>
            </w:r>
            <w:r w:rsidRPr="000158F8">
              <w:rPr>
                <w:i/>
                <w:sz w:val="18"/>
                <w:szCs w:val="18"/>
                <w:lang w:val="fr-FR"/>
              </w:rPr>
              <w:t>G du pays.</w:t>
            </w:r>
          </w:p>
          <w:p w14:paraId="299B16D6" w14:textId="72CA7B5F" w:rsidR="00080CB7" w:rsidRPr="000158F8" w:rsidRDefault="002D0302" w:rsidP="000158F8">
            <w:pPr>
              <w:pStyle w:val="TableParagraph"/>
              <w:numPr>
                <w:ilvl w:val="0"/>
                <w:numId w:val="29"/>
              </w:numPr>
              <w:tabs>
                <w:tab w:val="left" w:pos="468"/>
              </w:tabs>
              <w:spacing w:before="1" w:line="256" w:lineRule="auto"/>
              <w:ind w:right="145"/>
              <w:rPr>
                <w:sz w:val="18"/>
                <w:szCs w:val="18"/>
                <w:lang w:val="fr-FR"/>
              </w:rPr>
            </w:pPr>
            <w:r w:rsidRPr="00890C2E">
              <w:rPr>
                <w:noProof/>
                <w:lang w:val="fr-FR" w:eastAsia="fr-FR" w:bidi="ar-SA"/>
              </w:rPr>
              <mc:AlternateContent>
                <mc:Choice Requires="wps">
                  <w:drawing>
                    <wp:anchor distT="0" distB="0" distL="114300" distR="114300" simplePos="0" relativeHeight="251659264" behindDoc="0" locked="0" layoutInCell="1" allowOverlap="1" wp14:anchorId="12D4A87B" wp14:editId="78157316">
                      <wp:simplePos x="0" y="0"/>
                      <wp:positionH relativeFrom="column">
                        <wp:posOffset>52070</wp:posOffset>
                      </wp:positionH>
                      <wp:positionV relativeFrom="paragraph">
                        <wp:posOffset>591821</wp:posOffset>
                      </wp:positionV>
                      <wp:extent cx="4358245" cy="487680"/>
                      <wp:effectExtent l="0" t="0" r="23495" b="26670"/>
                      <wp:wrapNone/>
                      <wp:docPr id="37" name="Rectangle: Rounded Corners 37"/>
                      <wp:cNvGraphicFramePr/>
                      <a:graphic xmlns:a="http://schemas.openxmlformats.org/drawingml/2006/main">
                        <a:graphicData uri="http://schemas.microsoft.com/office/word/2010/wordprocessingShape">
                          <wps:wsp>
                            <wps:cNvSpPr/>
                            <wps:spPr>
                              <a:xfrm>
                                <a:off x="0" y="0"/>
                                <a:ext cx="4358245" cy="48768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B7B4A8" id="Rectangle: Rounded Corners 37" o:spid="_x0000_s1026" style="position:absolute;margin-left:4.1pt;margin-top:46.6pt;width:343.15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" filled="f" strokecolor="red" strokeweight="1pt">
                      <v:stroke joinstyle="miter"/>
                    </v:roundrect>
                  </w:pict>
                </mc:Fallback>
              </mc:AlternateContent>
            </w:r>
            <w:r w:rsidR="000158F8" w:rsidRPr="000158F8">
              <w:rPr>
                <w:i/>
                <w:sz w:val="18"/>
                <w:szCs w:val="18"/>
                <w:lang w:val="fr-FR"/>
              </w:rPr>
              <w:t>Les programmes de soutien psychosocial devraient inclure toutes les interventions qui tiennent compte de 3 domaines du bien-être de l’enfant : les compétences et les connaissances ; bien-être émotionnel et le bien-être social (conformément aux lignes directrices de l’IASC)</w:t>
            </w:r>
            <w:r w:rsidR="000158F8">
              <w:rPr>
                <w:i/>
                <w:sz w:val="18"/>
                <w:szCs w:val="18"/>
                <w:lang w:val="fr-FR"/>
              </w:rPr>
              <w:t xml:space="preserve">   </w:t>
            </w:r>
          </w:p>
          <w:p w14:paraId="01681CE0" w14:textId="0E538BB5" w:rsidR="000158F8" w:rsidRPr="000158F8" w:rsidRDefault="000158F8" w:rsidP="000158F8">
            <w:pPr>
              <w:pStyle w:val="TableParagraph"/>
              <w:spacing w:line="256" w:lineRule="auto"/>
              <w:rPr>
                <w:b/>
                <w:sz w:val="18"/>
                <w:szCs w:val="18"/>
                <w:lang w:val="fr-FR"/>
              </w:rPr>
            </w:pPr>
            <w:r w:rsidRPr="000158F8">
              <w:rPr>
                <w:b/>
                <w:sz w:val="18"/>
                <w:szCs w:val="18"/>
                <w:lang w:val="fr-FR"/>
              </w:rPr>
              <w:t xml:space="preserve"> </w:t>
            </w:r>
            <w:r w:rsidR="00AC2134">
              <w:rPr>
                <w:b/>
                <w:sz w:val="18"/>
                <w:szCs w:val="18"/>
                <w:lang w:val="fr-FR"/>
              </w:rPr>
              <w:t>Conseil de signalement</w:t>
            </w:r>
            <w:r w:rsidRPr="000158F8">
              <w:rPr>
                <w:b/>
                <w:sz w:val="18"/>
                <w:szCs w:val="18"/>
                <w:lang w:val="fr-FR"/>
              </w:rPr>
              <w:t xml:space="preserve"> :</w:t>
            </w:r>
          </w:p>
          <w:p w14:paraId="1A81074D" w14:textId="6B243722" w:rsidR="00080CB7" w:rsidRPr="0050718B" w:rsidRDefault="000158F8" w:rsidP="002D0302">
            <w:pPr>
              <w:pStyle w:val="TableParagraph"/>
              <w:spacing w:line="256" w:lineRule="auto"/>
              <w:rPr>
                <w:sz w:val="18"/>
                <w:szCs w:val="18"/>
                <w:lang w:val="fr-FR"/>
              </w:rPr>
            </w:pPr>
            <w:r w:rsidRPr="0050718B">
              <w:rPr>
                <w:sz w:val="18"/>
                <w:szCs w:val="18"/>
                <w:lang w:val="fr-FR"/>
              </w:rPr>
              <w:t>Pour les activités de soutien psychosocial menées à l’école, veuillez ne pas faire de rapport ici</w:t>
            </w:r>
            <w:r w:rsidR="0050718B">
              <w:rPr>
                <w:sz w:val="18"/>
                <w:szCs w:val="18"/>
                <w:lang w:val="fr-FR"/>
              </w:rPr>
              <w:t xml:space="preserve"> </w:t>
            </w:r>
            <w:r w:rsidRPr="0050718B">
              <w:rPr>
                <w:sz w:val="18"/>
                <w:szCs w:val="18"/>
                <w:lang w:val="fr-FR"/>
              </w:rPr>
              <w:t xml:space="preserve">et </w:t>
            </w:r>
            <w:r w:rsidR="002D0302" w:rsidRPr="0050718B">
              <w:rPr>
                <w:sz w:val="18"/>
                <w:szCs w:val="18"/>
                <w:lang w:val="fr-FR"/>
              </w:rPr>
              <w:t>signaler les au secteur de l’éducation</w:t>
            </w:r>
          </w:p>
        </w:tc>
      </w:tr>
      <w:tr w:rsidR="00080CB7" w:rsidRPr="00756E98" w14:paraId="1900A6D4" w14:textId="77777777" w:rsidTr="00FA2835">
        <w:trPr>
          <w:trHeight w:val="1820"/>
        </w:trPr>
        <w:tc>
          <w:tcPr>
            <w:tcW w:w="1134" w:type="dxa"/>
            <w:shd w:val="clear" w:color="auto" w:fill="FFFFFF" w:themeFill="background1"/>
          </w:tcPr>
          <w:p w14:paraId="3B9737A8" w14:textId="06958342" w:rsidR="002D0302" w:rsidRPr="002D0302" w:rsidRDefault="002D0302" w:rsidP="002D0302">
            <w:pPr>
              <w:pStyle w:val="TableParagraph"/>
              <w:spacing w:line="268" w:lineRule="exact"/>
              <w:rPr>
                <w:b/>
                <w:sz w:val="18"/>
                <w:szCs w:val="18"/>
                <w:lang w:val="fr-FR"/>
              </w:rPr>
            </w:pPr>
            <w:r w:rsidRPr="002D0302">
              <w:rPr>
                <w:b/>
                <w:sz w:val="18"/>
                <w:szCs w:val="18"/>
                <w:lang w:val="fr-FR"/>
              </w:rPr>
              <w:lastRenderedPageBreak/>
              <w:t xml:space="preserve">Sensibilisation et plaidoyer sur les questions du </w:t>
            </w:r>
            <w:r w:rsidR="007E21CD">
              <w:rPr>
                <w:b/>
                <w:sz w:val="18"/>
                <w:szCs w:val="18"/>
                <w:lang w:val="fr-FR"/>
              </w:rPr>
              <w:t>PE</w:t>
            </w:r>
            <w:r w:rsidRPr="002D0302">
              <w:rPr>
                <w:b/>
                <w:sz w:val="18"/>
                <w:szCs w:val="18"/>
                <w:lang w:val="fr-FR"/>
              </w:rPr>
              <w:t xml:space="preserve"> </w:t>
            </w:r>
          </w:p>
          <w:p w14:paraId="333EEE34" w14:textId="77777777" w:rsidR="002D0302" w:rsidRPr="002D0302" w:rsidRDefault="002D0302" w:rsidP="002D0302">
            <w:pPr>
              <w:pStyle w:val="TableParagraph"/>
              <w:spacing w:line="268" w:lineRule="exact"/>
              <w:rPr>
                <w:b/>
                <w:sz w:val="18"/>
                <w:szCs w:val="18"/>
                <w:lang w:val="fr-FR"/>
              </w:rPr>
            </w:pPr>
          </w:p>
          <w:p w14:paraId="1EA87862" w14:textId="149623CF" w:rsidR="00080CB7" w:rsidRPr="002D0302" w:rsidRDefault="002D0302" w:rsidP="002D0302">
            <w:pPr>
              <w:pStyle w:val="TableParagraph"/>
              <w:spacing w:line="268" w:lineRule="exact"/>
              <w:rPr>
                <w:b/>
                <w:i/>
                <w:sz w:val="18"/>
                <w:szCs w:val="18"/>
                <w:lang w:val="fr-FR"/>
              </w:rPr>
            </w:pPr>
            <w:r w:rsidRPr="002D0302">
              <w:rPr>
                <w:b/>
                <w:i/>
                <w:sz w:val="18"/>
                <w:szCs w:val="18"/>
                <w:lang w:val="fr-FR"/>
              </w:rPr>
              <w:t xml:space="preserve">Mise en œuvre par le </w:t>
            </w:r>
            <w:r w:rsidR="007E21CD">
              <w:rPr>
                <w:b/>
                <w:i/>
                <w:sz w:val="18"/>
                <w:szCs w:val="18"/>
                <w:lang w:val="fr-FR"/>
              </w:rPr>
              <w:t>PE</w:t>
            </w:r>
            <w:r w:rsidRPr="002D0302">
              <w:rPr>
                <w:b/>
                <w:i/>
                <w:sz w:val="18"/>
                <w:szCs w:val="18"/>
                <w:lang w:val="fr-FR"/>
              </w:rPr>
              <w:t xml:space="preserve"> </w:t>
            </w:r>
          </w:p>
        </w:tc>
        <w:tc>
          <w:tcPr>
            <w:tcW w:w="1134" w:type="dxa"/>
            <w:shd w:val="clear" w:color="auto" w:fill="FFFFFF" w:themeFill="background1"/>
            <w:hideMark/>
          </w:tcPr>
          <w:p w14:paraId="401F093D" w14:textId="1966CB1D" w:rsidR="00080CB7" w:rsidRPr="002D0302" w:rsidRDefault="002D0302" w:rsidP="00985B6B">
            <w:pPr>
              <w:pStyle w:val="TableParagraph"/>
              <w:spacing w:line="256" w:lineRule="auto"/>
              <w:ind w:right="-8"/>
              <w:rPr>
                <w:bCs/>
                <w:sz w:val="18"/>
                <w:szCs w:val="18"/>
                <w:lang w:val="fr-FR"/>
              </w:rPr>
            </w:pPr>
            <w:r w:rsidRPr="002D0302">
              <w:rPr>
                <w:bCs/>
                <w:sz w:val="18"/>
                <w:szCs w:val="18"/>
                <w:lang w:val="fr-FR"/>
              </w:rPr>
              <w:t xml:space="preserve">Mener des activités de sensibilisation sur les questions du </w:t>
            </w:r>
            <w:r w:rsidR="007E21CD">
              <w:rPr>
                <w:bCs/>
                <w:sz w:val="18"/>
                <w:szCs w:val="18"/>
                <w:lang w:val="fr-FR"/>
              </w:rPr>
              <w:t>PE</w:t>
            </w:r>
            <w:r w:rsidRPr="002D0302">
              <w:rPr>
                <w:bCs/>
                <w:sz w:val="18"/>
                <w:szCs w:val="18"/>
                <w:lang w:val="fr-FR"/>
              </w:rPr>
              <w:t xml:space="preserve"> </w:t>
            </w:r>
          </w:p>
        </w:tc>
        <w:tc>
          <w:tcPr>
            <w:tcW w:w="1134" w:type="dxa"/>
            <w:shd w:val="clear" w:color="auto" w:fill="FFFFFF" w:themeFill="background1"/>
            <w:hideMark/>
          </w:tcPr>
          <w:p w14:paraId="01B24780" w14:textId="43169E33" w:rsidR="00080CB7" w:rsidRPr="002D0302" w:rsidRDefault="002D0302" w:rsidP="00985B6B">
            <w:pPr>
              <w:pStyle w:val="TableParagraph"/>
              <w:spacing w:line="256" w:lineRule="auto"/>
              <w:ind w:right="-6"/>
              <w:rPr>
                <w:w w:val="105"/>
                <w:sz w:val="18"/>
                <w:szCs w:val="18"/>
                <w:lang w:val="fr-FR"/>
              </w:rPr>
            </w:pPr>
            <w:r w:rsidRPr="002D0302">
              <w:rPr>
                <w:w w:val="105"/>
                <w:sz w:val="18"/>
                <w:szCs w:val="18"/>
                <w:lang w:val="fr-FR"/>
              </w:rPr>
              <w:t>Nombre de filles/garçons/femmes/hommes participant à des activités de sensibilisati</w:t>
            </w:r>
            <w:r>
              <w:rPr>
                <w:w w:val="105"/>
                <w:sz w:val="18"/>
                <w:szCs w:val="18"/>
                <w:lang w:val="fr-FR"/>
              </w:rPr>
              <w:t xml:space="preserve">on sur les questions liées au </w:t>
            </w:r>
            <w:r w:rsidR="007E21CD">
              <w:rPr>
                <w:w w:val="105"/>
                <w:sz w:val="18"/>
                <w:szCs w:val="18"/>
                <w:lang w:val="fr-FR"/>
              </w:rPr>
              <w:t>PE</w:t>
            </w:r>
          </w:p>
        </w:tc>
        <w:tc>
          <w:tcPr>
            <w:tcW w:w="7088" w:type="dxa"/>
            <w:shd w:val="clear" w:color="auto" w:fill="FFFFFF" w:themeFill="background1"/>
          </w:tcPr>
          <w:p w14:paraId="2F6DA0EA" w14:textId="3FC80361" w:rsidR="00080CB7" w:rsidRPr="007E21CD" w:rsidRDefault="002D0302" w:rsidP="00985B6B">
            <w:pPr>
              <w:pStyle w:val="TableParagraph"/>
              <w:spacing w:line="256" w:lineRule="auto"/>
              <w:ind w:right="389"/>
              <w:rPr>
                <w:sz w:val="18"/>
                <w:szCs w:val="18"/>
                <w:lang w:val="fr-FR"/>
              </w:rPr>
            </w:pPr>
            <w:r w:rsidRPr="002D0302">
              <w:rPr>
                <w:sz w:val="18"/>
                <w:szCs w:val="18"/>
                <w:lang w:val="fr-FR"/>
              </w:rPr>
              <w:t xml:space="preserve">Enregistrez le nombre de filles/ garçons/ femmes / hommes que votre organisation a atteints grâce à des activités de sensibilisation à la protection de l’enfance (y compris les événements communautaires liés au </w:t>
            </w:r>
            <w:r w:rsidR="007E21CD">
              <w:rPr>
                <w:sz w:val="18"/>
                <w:szCs w:val="18"/>
                <w:lang w:val="fr-FR"/>
              </w:rPr>
              <w:t>PE</w:t>
            </w:r>
            <w:r w:rsidRPr="002D0302">
              <w:rPr>
                <w:sz w:val="18"/>
                <w:szCs w:val="18"/>
                <w:lang w:val="fr-FR"/>
              </w:rPr>
              <w:t>, séance</w:t>
            </w:r>
            <w:r w:rsidR="00626A1F">
              <w:rPr>
                <w:sz w:val="18"/>
                <w:szCs w:val="18"/>
                <w:lang w:val="fr-FR"/>
              </w:rPr>
              <w:t>s de sensibilisation en face à face</w:t>
            </w:r>
            <w:r w:rsidRPr="002D0302">
              <w:rPr>
                <w:sz w:val="18"/>
                <w:szCs w:val="18"/>
                <w:lang w:val="fr-FR"/>
              </w:rPr>
              <w:t xml:space="preserve">).          </w:t>
            </w:r>
          </w:p>
          <w:p w14:paraId="1BC2F952" w14:textId="77777777" w:rsidR="00080CB7" w:rsidRPr="007E21CD" w:rsidRDefault="00080CB7" w:rsidP="00985B6B">
            <w:pPr>
              <w:pStyle w:val="TableParagraph"/>
              <w:spacing w:line="256" w:lineRule="auto"/>
              <w:ind w:right="389"/>
              <w:rPr>
                <w:sz w:val="18"/>
                <w:szCs w:val="18"/>
                <w:lang w:val="fr-FR"/>
              </w:rPr>
            </w:pPr>
          </w:p>
          <w:p w14:paraId="21E36DC5" w14:textId="6B424E9C" w:rsidR="00080CB7" w:rsidRPr="0050718B" w:rsidRDefault="00080CB7" w:rsidP="00985B6B">
            <w:pPr>
              <w:pStyle w:val="TableParagraph"/>
              <w:spacing w:line="256" w:lineRule="auto"/>
              <w:rPr>
                <w:b/>
                <w:sz w:val="18"/>
                <w:szCs w:val="18"/>
                <w:lang w:val="fr-FR"/>
              </w:rPr>
            </w:pPr>
            <w:r w:rsidRPr="00890C2E">
              <w:rPr>
                <w:noProof/>
                <w:lang w:val="fr-FR" w:eastAsia="fr-FR" w:bidi="ar-SA"/>
              </w:rPr>
              <mc:AlternateContent>
                <mc:Choice Requires="wps">
                  <w:drawing>
                    <wp:anchor distT="0" distB="0" distL="114300" distR="114300" simplePos="0" relativeHeight="251660288" behindDoc="0" locked="0" layoutInCell="1" allowOverlap="1" wp14:anchorId="346B8435" wp14:editId="1BBBB1E9">
                      <wp:simplePos x="0" y="0"/>
                      <wp:positionH relativeFrom="column">
                        <wp:posOffset>25562</wp:posOffset>
                      </wp:positionH>
                      <wp:positionV relativeFrom="paragraph">
                        <wp:posOffset>3987</wp:posOffset>
                      </wp:positionV>
                      <wp:extent cx="4167963" cy="431800"/>
                      <wp:effectExtent l="0" t="0" r="23495" b="25400"/>
                      <wp:wrapNone/>
                      <wp:docPr id="35" name="Rectangle: Rounded Corners 35"/>
                      <wp:cNvGraphicFramePr/>
                      <a:graphic xmlns:a="http://schemas.openxmlformats.org/drawingml/2006/main">
                        <a:graphicData uri="http://schemas.microsoft.com/office/word/2010/wordprocessingShape">
                          <wps:wsp>
                            <wps:cNvSpPr/>
                            <wps:spPr>
                              <a:xfrm>
                                <a:off x="0" y="0"/>
                                <a:ext cx="4167963" cy="43180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roundrect id="Rectangle: Rounded Corners 35" style="position:absolute;margin-left:2pt;margin-top:.3pt;width:328.2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1pt" arcsize="10923f" w14:anchorId="496102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">
                      <v:stroke joinstyle="miter"/>
                    </v:roundrect>
                  </w:pict>
                </mc:Fallback>
              </mc:AlternateContent>
            </w:r>
            <w:r w:rsidR="00626A1F" w:rsidRPr="0050718B">
              <w:rPr>
                <w:b/>
                <w:sz w:val="18"/>
                <w:szCs w:val="18"/>
                <w:lang w:val="fr-FR"/>
              </w:rPr>
              <w:t xml:space="preserve">Conseil de </w:t>
            </w:r>
            <w:r w:rsidR="0050718B" w:rsidRPr="0050718B">
              <w:rPr>
                <w:b/>
                <w:sz w:val="18"/>
                <w:szCs w:val="18"/>
                <w:lang w:val="fr-FR"/>
              </w:rPr>
              <w:t>signalement :</w:t>
            </w:r>
          </w:p>
          <w:p w14:paraId="2CF6F423" w14:textId="7E2757C1" w:rsidR="00080CB7" w:rsidRPr="0050718B" w:rsidRDefault="0050718B" w:rsidP="00985B6B">
            <w:pPr>
              <w:pStyle w:val="TableParagraph"/>
              <w:spacing w:line="256" w:lineRule="auto"/>
              <w:ind w:right="389"/>
              <w:rPr>
                <w:sz w:val="18"/>
                <w:szCs w:val="18"/>
                <w:lang w:val="fr-FR"/>
              </w:rPr>
            </w:pPr>
            <w:r w:rsidRPr="0050718B">
              <w:rPr>
                <w:bCs/>
                <w:sz w:val="18"/>
                <w:szCs w:val="18"/>
                <w:lang w:val="fr-FR"/>
              </w:rPr>
              <w:t xml:space="preserve">Pour les activités de sensibilisation du </w:t>
            </w:r>
            <w:r w:rsidR="007E21CD">
              <w:rPr>
                <w:bCs/>
                <w:sz w:val="18"/>
                <w:szCs w:val="18"/>
                <w:lang w:val="fr-FR"/>
              </w:rPr>
              <w:t>PE</w:t>
            </w:r>
            <w:r w:rsidRPr="0050718B">
              <w:rPr>
                <w:bCs/>
                <w:sz w:val="18"/>
                <w:szCs w:val="18"/>
                <w:lang w:val="fr-FR"/>
              </w:rPr>
              <w:t xml:space="preserve"> menées à l’école, veuillez ne pas faire rapport ici et signale</w:t>
            </w:r>
            <w:r>
              <w:rPr>
                <w:bCs/>
                <w:sz w:val="18"/>
                <w:szCs w:val="18"/>
                <w:lang w:val="fr-FR"/>
              </w:rPr>
              <w:t>r les</w:t>
            </w:r>
            <w:r w:rsidRPr="0050718B">
              <w:rPr>
                <w:bCs/>
                <w:sz w:val="18"/>
                <w:szCs w:val="18"/>
                <w:lang w:val="fr-FR"/>
              </w:rPr>
              <w:t xml:space="preserve"> au secteur de l’éducation.</w:t>
            </w:r>
            <w:r>
              <w:rPr>
                <w:bCs/>
                <w:sz w:val="18"/>
                <w:szCs w:val="18"/>
                <w:lang w:val="fr-FR"/>
              </w:rPr>
              <w:t xml:space="preserve">   </w:t>
            </w:r>
          </w:p>
        </w:tc>
      </w:tr>
    </w:tbl>
    <w:p w14:paraId="69140AED" w14:textId="77777777" w:rsidR="007E21CD" w:rsidRDefault="007E21CD" w:rsidP="00080CB7">
      <w:pPr>
        <w:rPr>
          <w:rFonts w:ascii="Calibri" w:eastAsia="Calibri" w:hAnsi="Calibri" w:cs="Calibri"/>
          <w:b/>
          <w:bCs/>
          <w:color w:val="EB3741"/>
          <w:lang w:val="fr-FR"/>
        </w:rPr>
      </w:pPr>
      <w:bookmarkStart w:id="4" w:name="Annex14"/>
    </w:p>
    <w:p w14:paraId="490CCAC3" w14:textId="57DD8A6B" w:rsidR="00080CB7" w:rsidRPr="0050718B" w:rsidRDefault="00080CB7" w:rsidP="00080CB7">
      <w:pPr>
        <w:rPr>
          <w:b/>
          <w:bCs/>
          <w:color w:val="EB3741"/>
          <w:sz w:val="36"/>
          <w:szCs w:val="36"/>
          <w:lang w:val="fr-FR"/>
        </w:rPr>
      </w:pPr>
      <w:r w:rsidRPr="0050718B">
        <w:rPr>
          <w:rFonts w:ascii="Calibri" w:eastAsia="Calibri" w:hAnsi="Calibri" w:cs="Calibri"/>
          <w:b/>
          <w:bCs/>
          <w:color w:val="EB3741"/>
          <w:lang w:val="fr-FR"/>
        </w:rPr>
        <w:t>Annex</w:t>
      </w:r>
      <w:r w:rsidR="0050718B" w:rsidRPr="0050718B">
        <w:rPr>
          <w:rFonts w:ascii="Calibri" w:eastAsia="Calibri" w:hAnsi="Calibri" w:cs="Calibri"/>
          <w:b/>
          <w:bCs/>
          <w:color w:val="EB3741"/>
          <w:lang w:val="fr-FR"/>
        </w:rPr>
        <w:t>e</w:t>
      </w:r>
      <w:r w:rsidRPr="0050718B">
        <w:rPr>
          <w:rFonts w:ascii="Calibri" w:eastAsia="Calibri" w:hAnsi="Calibri" w:cs="Calibri"/>
          <w:b/>
          <w:bCs/>
          <w:color w:val="EB3741"/>
          <w:lang w:val="fr-FR"/>
        </w:rPr>
        <w:t xml:space="preserve"> 1</w:t>
      </w:r>
      <w:r w:rsidR="00BE2A9E" w:rsidRPr="0050718B">
        <w:rPr>
          <w:rFonts w:ascii="Calibri" w:eastAsia="Calibri" w:hAnsi="Calibri" w:cs="Calibri"/>
          <w:b/>
          <w:bCs/>
          <w:color w:val="EB3741"/>
          <w:lang w:val="fr-FR"/>
        </w:rPr>
        <w:t>4</w:t>
      </w:r>
      <w:bookmarkEnd w:id="4"/>
      <w:r w:rsidR="0050718B" w:rsidRPr="0050718B">
        <w:rPr>
          <w:rFonts w:ascii="Calibri" w:eastAsia="Calibri" w:hAnsi="Calibri" w:cs="Calibri"/>
          <w:b/>
          <w:bCs/>
          <w:color w:val="EB3741"/>
          <w:lang w:val="fr-FR"/>
        </w:rPr>
        <w:t xml:space="preserve"> </w:t>
      </w:r>
      <w:r w:rsidRPr="0050718B">
        <w:rPr>
          <w:rFonts w:ascii="Calibri" w:eastAsia="Calibri" w:hAnsi="Calibri" w:cs="Calibri"/>
          <w:b/>
          <w:bCs/>
          <w:color w:val="EB3741"/>
          <w:lang w:val="fr-FR"/>
        </w:rPr>
        <w:t xml:space="preserve">: </w:t>
      </w:r>
      <w:r w:rsidR="0050718B" w:rsidRPr="0050718B">
        <w:rPr>
          <w:rFonts w:ascii="Calibri" w:eastAsia="Calibri" w:hAnsi="Calibri" w:cs="Calibri"/>
          <w:b/>
          <w:bCs/>
          <w:color w:val="EB3741"/>
          <w:lang w:val="fr-FR"/>
        </w:rPr>
        <w:t xml:space="preserve">Évaluation de l’étendue et de la qualité de la collaboration </w:t>
      </w:r>
      <w:r w:rsidR="007E21CD">
        <w:rPr>
          <w:rFonts w:ascii="Calibri" w:eastAsia="Calibri" w:hAnsi="Calibri" w:cs="Calibri"/>
          <w:b/>
          <w:bCs/>
          <w:color w:val="EB3741"/>
          <w:lang w:val="fr-FR"/>
        </w:rPr>
        <w:t>PE</w:t>
      </w:r>
      <w:r w:rsidR="0050718B" w:rsidRPr="0050718B">
        <w:rPr>
          <w:rFonts w:ascii="Calibri" w:eastAsia="Calibri" w:hAnsi="Calibri" w:cs="Calibri"/>
          <w:b/>
          <w:bCs/>
          <w:color w:val="EB3741"/>
          <w:lang w:val="fr-FR"/>
        </w:rPr>
        <w:t>-</w:t>
      </w:r>
      <w:r w:rsidR="007E21CD">
        <w:rPr>
          <w:rFonts w:ascii="Calibri" w:eastAsia="Calibri" w:hAnsi="Calibri" w:cs="Calibri"/>
          <w:b/>
          <w:bCs/>
          <w:color w:val="EB3741"/>
          <w:lang w:val="fr-FR"/>
        </w:rPr>
        <w:t>ESU</w:t>
      </w:r>
      <w:r w:rsidR="0050718B">
        <w:rPr>
          <w:rFonts w:ascii="Calibri" w:eastAsia="Calibri" w:hAnsi="Calibri" w:cs="Calibri"/>
          <w:b/>
          <w:bCs/>
          <w:color w:val="EB3741"/>
          <w:lang w:val="fr-FR"/>
        </w:rPr>
        <w:t xml:space="preserve">  </w:t>
      </w:r>
      <w:r w:rsidRPr="0050718B">
        <w:rPr>
          <w:rFonts w:ascii="Calibri" w:eastAsia="Calibri" w:hAnsi="Calibri" w:cs="Calibri"/>
          <w:b/>
          <w:bCs/>
          <w:color w:val="EB3741"/>
          <w:lang w:val="fr-FR"/>
        </w:rPr>
        <w:t xml:space="preserve"> </w:t>
      </w:r>
    </w:p>
    <w:p w14:paraId="5666A65A" w14:textId="18C32DFD" w:rsidR="0079181C" w:rsidRPr="0079181C" w:rsidRDefault="0079181C" w:rsidP="0079181C">
      <w:pPr>
        <w:rPr>
          <w:b/>
          <w:lang w:val="fr-FR"/>
        </w:rPr>
      </w:pPr>
      <w:r w:rsidRPr="0079181C">
        <w:rPr>
          <w:b/>
          <w:lang w:val="fr-FR"/>
        </w:rPr>
        <w:t>L’examen et l’évaluation s</w:t>
      </w:r>
      <w:r>
        <w:rPr>
          <w:b/>
          <w:lang w:val="fr-FR"/>
        </w:rPr>
        <w:t>ont une étape essentielle du HPC</w:t>
      </w:r>
      <w:r w:rsidRPr="0079181C">
        <w:rPr>
          <w:lang w:val="fr-FR"/>
        </w:rPr>
        <w:t>. Les évaluations humanitaires inter</w:t>
      </w:r>
      <w:r>
        <w:rPr>
          <w:lang w:val="fr-FR"/>
        </w:rPr>
        <w:t>-organismes</w:t>
      </w:r>
      <w:r w:rsidRPr="0079181C">
        <w:rPr>
          <w:lang w:val="fr-FR"/>
        </w:rPr>
        <w:t xml:space="preserve"> de l’OCHA évaluent « les résultats de la réponse humanitaire collective des organisations membres de l’IASC, [mesurant] la mesure dans laquelle les résultats collectifs prévus ont été obtenus et comment les efforts de réforme humanitaire ont contribué à cette réalisation ».</w:t>
      </w:r>
      <w:r w:rsidRPr="0079181C">
        <w:rPr>
          <w:vertAlign w:val="superscript"/>
          <w:lang w:val="fr-FR"/>
        </w:rPr>
        <w:t>2</w:t>
      </w:r>
    </w:p>
    <w:p w14:paraId="3B08B3D2" w14:textId="334C4FAE" w:rsidR="0079181C" w:rsidRPr="0079181C" w:rsidRDefault="0079181C" w:rsidP="0079181C">
      <w:pPr>
        <w:rPr>
          <w:b/>
          <w:lang w:val="fr-FR"/>
        </w:rPr>
      </w:pPr>
      <w:r w:rsidRPr="0079181C">
        <w:rPr>
          <w:b/>
          <w:lang w:val="fr-FR"/>
        </w:rPr>
        <w:t xml:space="preserve">Grâce à la collaboration des secteurs du </w:t>
      </w:r>
      <w:r w:rsidR="007E21CD">
        <w:rPr>
          <w:b/>
          <w:lang w:val="fr-FR"/>
        </w:rPr>
        <w:t>PE</w:t>
      </w:r>
      <w:r w:rsidRPr="0079181C">
        <w:rPr>
          <w:b/>
          <w:lang w:val="fr-FR"/>
        </w:rPr>
        <w:t xml:space="preserve"> et de l’Éducation, vous contribuez à accroître la pertinence, l’efficacité et la coordination afin d’accroître l’impact collectif des enfants touchés. </w:t>
      </w:r>
    </w:p>
    <w:p w14:paraId="57E7530F" w14:textId="5B91EC1E" w:rsidR="0079181C" w:rsidRPr="0079181C" w:rsidRDefault="0079181C" w:rsidP="0079181C">
      <w:pPr>
        <w:rPr>
          <w:lang w:val="fr-FR"/>
        </w:rPr>
      </w:pPr>
      <w:r w:rsidRPr="0079181C">
        <w:rPr>
          <w:lang w:val="fr-FR"/>
        </w:rPr>
        <w:t>La mesure et la réflexion sur la collaboration facilitent la réflexion des secteurs sur les leçons apprises et la mesure dans laquelle l’impact et la qualité des réponses des deux secteurs ont été améliorés grâce à des approches collaboratives.</w:t>
      </w:r>
      <w:r w:rsidRPr="0079181C">
        <w:rPr>
          <w:b/>
          <w:lang w:val="fr-FR"/>
        </w:rPr>
        <w:t xml:space="preserve"> Il s’agit d’une occasion d’apprendre conjointement, </w:t>
      </w:r>
      <w:r w:rsidRPr="0079181C">
        <w:rPr>
          <w:lang w:val="fr-FR"/>
        </w:rPr>
        <w:t>d’évaluer les progrès réalisés en collaboration et de planifier des activités ciblées par l’entremise du prochain HPC.</w:t>
      </w:r>
    </w:p>
    <w:p w14:paraId="010D6B40" w14:textId="493FB6B4" w:rsidR="00D93164" w:rsidRPr="007E21CD" w:rsidRDefault="0079181C" w:rsidP="0079181C">
      <w:pPr>
        <w:rPr>
          <w:bCs/>
          <w:lang w:val="fr-FR"/>
        </w:rPr>
      </w:pPr>
      <w:r w:rsidRPr="0079181C">
        <w:rPr>
          <w:lang w:val="fr-FR"/>
        </w:rPr>
        <w:t>Voici quelques exemples d’indicateurs pour surveiller et évaluer</w:t>
      </w:r>
      <w:r w:rsidRPr="0079181C">
        <w:rPr>
          <w:b/>
          <w:lang w:val="fr-FR"/>
        </w:rPr>
        <w:t xml:space="preserve"> l’étendue et la qualité de la collaboration </w:t>
      </w:r>
      <w:r w:rsidRPr="0079181C">
        <w:rPr>
          <w:lang w:val="fr-FR"/>
        </w:rPr>
        <w:t xml:space="preserve">entre les secteurs du </w:t>
      </w:r>
      <w:r w:rsidR="007E21CD">
        <w:rPr>
          <w:lang w:val="fr-FR"/>
        </w:rPr>
        <w:t>PE</w:t>
      </w:r>
      <w:r w:rsidRPr="0079181C">
        <w:rPr>
          <w:lang w:val="fr-FR"/>
        </w:rPr>
        <w:t xml:space="preserve"> et de l’Éducation :</w:t>
      </w:r>
      <w:r w:rsidR="0050718B" w:rsidRPr="0079181C">
        <w:rPr>
          <w:b/>
          <w:lang w:val="fr-FR"/>
        </w:rPr>
        <w:t xml:space="preserve">          </w:t>
      </w:r>
    </w:p>
    <w:p w14:paraId="1A70EA62" w14:textId="36F8A4FB" w:rsidR="0079181C" w:rsidRPr="0079181C" w:rsidRDefault="0079181C" w:rsidP="0079181C">
      <w:pPr>
        <w:pStyle w:val="ListParagraph"/>
        <w:numPr>
          <w:ilvl w:val="0"/>
          <w:numId w:val="23"/>
        </w:numPr>
        <w:rPr>
          <w:bCs/>
          <w:lang w:val="fr-FR"/>
        </w:rPr>
      </w:pPr>
      <w:r w:rsidRPr="0079181C">
        <w:rPr>
          <w:bCs/>
          <w:lang w:val="fr-FR"/>
        </w:rPr>
        <w:t xml:space="preserve">  Indicateurs mesurant </w:t>
      </w:r>
      <w:r w:rsidRPr="00133B17">
        <w:rPr>
          <w:b/>
          <w:bCs/>
          <w:lang w:val="fr-FR"/>
        </w:rPr>
        <w:t xml:space="preserve">l’intégration ou l’intégration du </w:t>
      </w:r>
      <w:r w:rsidR="007E21CD">
        <w:rPr>
          <w:b/>
          <w:bCs/>
          <w:lang w:val="fr-FR"/>
        </w:rPr>
        <w:t>PE</w:t>
      </w:r>
      <w:r w:rsidRPr="0079181C">
        <w:rPr>
          <w:bCs/>
          <w:lang w:val="fr-FR"/>
        </w:rPr>
        <w:t xml:space="preserve"> et de l’éducation afin de renforcer les efforts de collaboration et d’intégration, p. </w:t>
      </w:r>
      <w:proofErr w:type="gramStart"/>
      <w:r w:rsidRPr="0079181C">
        <w:rPr>
          <w:bCs/>
          <w:lang w:val="fr-FR"/>
        </w:rPr>
        <w:t>ex.:</w:t>
      </w:r>
      <w:proofErr w:type="gramEnd"/>
    </w:p>
    <w:p w14:paraId="78DC6779" w14:textId="13681ED5" w:rsidR="0079181C" w:rsidRPr="0079181C" w:rsidRDefault="00133B17" w:rsidP="00133B17">
      <w:pPr>
        <w:pStyle w:val="ListParagraph"/>
        <w:ind w:left="1701" w:hanging="981"/>
        <w:rPr>
          <w:bCs/>
          <w:lang w:val="fr-FR"/>
        </w:rPr>
      </w:pPr>
      <w:r>
        <w:rPr>
          <w:bCs/>
          <w:lang w:val="fr-FR"/>
        </w:rPr>
        <w:t xml:space="preserve">            </w:t>
      </w:r>
      <w:proofErr w:type="gramStart"/>
      <w:r w:rsidR="0079181C" w:rsidRPr="0079181C">
        <w:rPr>
          <w:bCs/>
          <w:lang w:val="fr-FR"/>
        </w:rPr>
        <w:t>o</w:t>
      </w:r>
      <w:proofErr w:type="gramEnd"/>
      <w:r w:rsidR="0079181C" w:rsidRPr="0079181C">
        <w:rPr>
          <w:bCs/>
          <w:lang w:val="fr-FR"/>
        </w:rPr>
        <w:t xml:space="preserve"> </w:t>
      </w:r>
      <w:r>
        <w:rPr>
          <w:bCs/>
          <w:lang w:val="fr-FR"/>
        </w:rPr>
        <w:t xml:space="preserve">    </w:t>
      </w:r>
      <w:r w:rsidR="0079181C" w:rsidRPr="0079181C">
        <w:rPr>
          <w:bCs/>
          <w:lang w:val="fr-FR"/>
        </w:rPr>
        <w:t>Contre les résultats de la stratégie intégrée/conjointe, par exemple en Somalie Éducation HRP : « Nombre d’écoliers et de jeunes (M/F) atteints avec des activités de protection conformément au Cadre intégré d’intervention en matière d’éducation et de protection de l’enfant »</w:t>
      </w:r>
    </w:p>
    <w:p w14:paraId="3A7A7DCD" w14:textId="40DAD6DB" w:rsidR="0079181C" w:rsidRPr="0079181C" w:rsidRDefault="00133B17" w:rsidP="00133B17">
      <w:pPr>
        <w:pStyle w:val="ListParagraph"/>
        <w:ind w:left="1701" w:hanging="981"/>
        <w:rPr>
          <w:bCs/>
          <w:lang w:val="fr-FR"/>
        </w:rPr>
      </w:pPr>
      <w:r>
        <w:rPr>
          <w:bCs/>
          <w:lang w:val="fr-FR"/>
        </w:rPr>
        <w:t xml:space="preserve">            </w:t>
      </w:r>
      <w:proofErr w:type="gramStart"/>
      <w:r w:rsidR="0079181C" w:rsidRPr="0079181C">
        <w:rPr>
          <w:bCs/>
          <w:lang w:val="fr-FR"/>
        </w:rPr>
        <w:t>o</w:t>
      </w:r>
      <w:proofErr w:type="gramEnd"/>
      <w:r>
        <w:rPr>
          <w:bCs/>
          <w:lang w:val="fr-FR"/>
        </w:rPr>
        <w:t xml:space="preserve">    </w:t>
      </w:r>
      <w:r w:rsidR="0079181C" w:rsidRPr="0079181C">
        <w:rPr>
          <w:bCs/>
          <w:lang w:val="fr-FR"/>
        </w:rPr>
        <w:t xml:space="preserve"> Évaluation qualitative de la « force de collaboration ? », « dans quelle mesure les objectifs/impact ont-ils été poursuivis à la suite de la collaboration? »</w:t>
      </w:r>
    </w:p>
    <w:p w14:paraId="1E6D935B" w14:textId="5BFB614C" w:rsidR="00080CB7" w:rsidRPr="00133B17" w:rsidRDefault="00133B17" w:rsidP="00133B17">
      <w:pPr>
        <w:pStyle w:val="ListParagraph"/>
        <w:rPr>
          <w:b/>
          <w:lang w:val="fr-FR"/>
        </w:rPr>
      </w:pPr>
      <w:r>
        <w:rPr>
          <w:bCs/>
          <w:lang w:val="fr-FR"/>
        </w:rPr>
        <w:t xml:space="preserve">            </w:t>
      </w:r>
      <w:proofErr w:type="gramStart"/>
      <w:r w:rsidR="0079181C" w:rsidRPr="0079181C">
        <w:rPr>
          <w:bCs/>
          <w:lang w:val="fr-FR"/>
        </w:rPr>
        <w:t>o</w:t>
      </w:r>
      <w:proofErr w:type="gramEnd"/>
      <w:r>
        <w:rPr>
          <w:bCs/>
          <w:lang w:val="fr-FR"/>
        </w:rPr>
        <w:t xml:space="preserve">    </w:t>
      </w:r>
      <w:r w:rsidR="0079181C" w:rsidRPr="0079181C">
        <w:rPr>
          <w:bCs/>
          <w:lang w:val="fr-FR"/>
        </w:rPr>
        <w:t xml:space="preserve"> Options de « marquage intersectoriel » dans les 3/4/5W pour suivre quantitativement l’étendue et la prévalence des programmes intégrés    </w:t>
      </w:r>
    </w:p>
    <w:p w14:paraId="06B2BECC" w14:textId="3114E304" w:rsidR="00133B17" w:rsidRPr="00133B17" w:rsidRDefault="00133B17" w:rsidP="00133B17">
      <w:pPr>
        <w:pStyle w:val="ListParagraph"/>
        <w:numPr>
          <w:ilvl w:val="0"/>
          <w:numId w:val="23"/>
        </w:numPr>
        <w:rPr>
          <w:bCs/>
          <w:lang w:val="fr-FR"/>
        </w:rPr>
      </w:pPr>
      <w:r w:rsidRPr="00133B17">
        <w:rPr>
          <w:bCs/>
          <w:lang w:val="fr-FR"/>
        </w:rPr>
        <w:t xml:space="preserve"> Exemple d’indicateurs quantitatifs pour la collaboration au niveau sectoriel</w:t>
      </w:r>
    </w:p>
    <w:p w14:paraId="124E3E53" w14:textId="4F6EDFFD" w:rsidR="00133B17" w:rsidRPr="00133B17" w:rsidRDefault="00133B17" w:rsidP="00133B17">
      <w:pPr>
        <w:pStyle w:val="ListParagraph"/>
        <w:ind w:left="1843" w:hanging="1123"/>
        <w:rPr>
          <w:bCs/>
          <w:lang w:val="fr-FR"/>
        </w:rPr>
      </w:pPr>
      <w:r>
        <w:rPr>
          <w:bCs/>
          <w:lang w:val="fr-FR"/>
        </w:rPr>
        <w:t xml:space="preserve">              </w:t>
      </w:r>
      <w:r w:rsidRPr="00133B17">
        <w:rPr>
          <w:bCs/>
          <w:lang w:val="fr-FR"/>
        </w:rPr>
        <w:t>O</w:t>
      </w:r>
      <w:r>
        <w:rPr>
          <w:bCs/>
          <w:lang w:val="fr-FR"/>
        </w:rPr>
        <w:t xml:space="preserve">    </w:t>
      </w:r>
      <w:r w:rsidRPr="00133B17">
        <w:rPr>
          <w:bCs/>
          <w:lang w:val="fr-FR"/>
        </w:rPr>
        <w:t xml:space="preserve"> Évaluation des besoins : Y/N les évaluations ont-elles été effectuées conjointement ou y compris la participation de l’autre </w:t>
      </w:r>
      <w:r w:rsidR="003935B8" w:rsidRPr="00133B17">
        <w:rPr>
          <w:bCs/>
          <w:lang w:val="fr-FR"/>
        </w:rPr>
        <w:t>secteur ?</w:t>
      </w:r>
    </w:p>
    <w:p w14:paraId="5EB9C20E" w14:textId="1214CC0D" w:rsidR="00133B17" w:rsidRPr="00133B17" w:rsidRDefault="00133B17" w:rsidP="00133B17">
      <w:pPr>
        <w:pStyle w:val="ListParagraph"/>
        <w:ind w:left="1843" w:hanging="1123"/>
        <w:rPr>
          <w:bCs/>
          <w:lang w:val="fr-FR"/>
        </w:rPr>
      </w:pPr>
      <w:r>
        <w:rPr>
          <w:bCs/>
          <w:lang w:val="fr-FR"/>
        </w:rPr>
        <w:t xml:space="preserve">              </w:t>
      </w:r>
      <w:r w:rsidRPr="00133B17">
        <w:rPr>
          <w:bCs/>
          <w:lang w:val="fr-FR"/>
        </w:rPr>
        <w:t>O</w:t>
      </w:r>
      <w:r>
        <w:rPr>
          <w:bCs/>
          <w:lang w:val="fr-FR"/>
        </w:rPr>
        <w:t xml:space="preserve">    </w:t>
      </w:r>
      <w:r w:rsidRPr="00133B17">
        <w:rPr>
          <w:bCs/>
          <w:lang w:val="fr-FR"/>
        </w:rPr>
        <w:t xml:space="preserve"> Analyse des besoins : Y/</w:t>
      </w:r>
      <w:proofErr w:type="gramStart"/>
      <w:r w:rsidRPr="00133B17">
        <w:rPr>
          <w:bCs/>
          <w:lang w:val="fr-FR"/>
        </w:rPr>
        <w:t>N a</w:t>
      </w:r>
      <w:proofErr w:type="gramEnd"/>
      <w:r w:rsidRPr="00133B17">
        <w:rPr>
          <w:bCs/>
          <w:lang w:val="fr-FR"/>
        </w:rPr>
        <w:t>-t-elle utilisé les don</w:t>
      </w:r>
      <w:r w:rsidR="003935B8">
        <w:rPr>
          <w:bCs/>
          <w:lang w:val="fr-FR"/>
        </w:rPr>
        <w:t>nées de l’autre secteur et a eu</w:t>
      </w:r>
      <w:r w:rsidRPr="00133B17">
        <w:rPr>
          <w:bCs/>
          <w:lang w:val="fr-FR"/>
        </w:rPr>
        <w:t xml:space="preserve"> une participation ou une validation de l’autre </w:t>
      </w:r>
      <w:r w:rsidR="003935B8" w:rsidRPr="00133B17">
        <w:rPr>
          <w:bCs/>
          <w:lang w:val="fr-FR"/>
        </w:rPr>
        <w:t>secteur ?</w:t>
      </w:r>
    </w:p>
    <w:p w14:paraId="17566D01" w14:textId="2CE24B6A" w:rsidR="00133B17" w:rsidRPr="00133B17" w:rsidRDefault="00133B17" w:rsidP="00133B17">
      <w:pPr>
        <w:pStyle w:val="ListParagraph"/>
        <w:ind w:left="1843" w:hanging="1123"/>
        <w:rPr>
          <w:bCs/>
          <w:lang w:val="fr-FR"/>
        </w:rPr>
      </w:pPr>
      <w:r>
        <w:rPr>
          <w:bCs/>
          <w:lang w:val="fr-FR"/>
        </w:rPr>
        <w:t xml:space="preserve">              </w:t>
      </w:r>
      <w:r w:rsidRPr="00133B17">
        <w:rPr>
          <w:bCs/>
          <w:lang w:val="fr-FR"/>
        </w:rPr>
        <w:t>O</w:t>
      </w:r>
      <w:r>
        <w:rPr>
          <w:bCs/>
          <w:lang w:val="fr-FR"/>
        </w:rPr>
        <w:t xml:space="preserve">    </w:t>
      </w:r>
      <w:r w:rsidRPr="00133B17">
        <w:rPr>
          <w:bCs/>
          <w:lang w:val="fr-FR"/>
        </w:rPr>
        <w:t xml:space="preserve"> Planification : Y/N ou nombre de normes d’activité dans la Stratégie d’éducation qui ont été définies conjointement</w:t>
      </w:r>
    </w:p>
    <w:p w14:paraId="69A071A3" w14:textId="0C910270" w:rsidR="00133B17" w:rsidRPr="00133B17" w:rsidRDefault="00133B17" w:rsidP="00133B17">
      <w:pPr>
        <w:pStyle w:val="ListParagraph"/>
        <w:ind w:left="1843" w:hanging="1123"/>
        <w:rPr>
          <w:bCs/>
          <w:lang w:val="fr-FR"/>
        </w:rPr>
      </w:pPr>
      <w:r>
        <w:rPr>
          <w:bCs/>
          <w:lang w:val="fr-FR"/>
        </w:rPr>
        <w:t xml:space="preserve">              </w:t>
      </w:r>
      <w:r w:rsidRPr="00133B17">
        <w:rPr>
          <w:bCs/>
          <w:lang w:val="fr-FR"/>
        </w:rPr>
        <w:t>O</w:t>
      </w:r>
      <w:r>
        <w:rPr>
          <w:bCs/>
          <w:lang w:val="fr-FR"/>
        </w:rPr>
        <w:t xml:space="preserve">    </w:t>
      </w:r>
      <w:r w:rsidRPr="00133B17">
        <w:rPr>
          <w:bCs/>
          <w:lang w:val="fr-FR"/>
        </w:rPr>
        <w:t xml:space="preserve"> Mobilisation des ressources : Y/N ont-ils prévu un budget de ressources dans le cadre des activités d’éducation au </w:t>
      </w:r>
      <w:r w:rsidR="007E21CD">
        <w:rPr>
          <w:bCs/>
          <w:lang w:val="fr-FR"/>
        </w:rPr>
        <w:t>PE</w:t>
      </w:r>
      <w:r w:rsidRPr="00133B17">
        <w:rPr>
          <w:bCs/>
          <w:lang w:val="fr-FR"/>
        </w:rPr>
        <w:t xml:space="preserve"> qui ont été incluses dans la stratégie </w:t>
      </w:r>
      <w:r w:rsidR="003935B8" w:rsidRPr="00133B17">
        <w:rPr>
          <w:bCs/>
          <w:lang w:val="fr-FR"/>
        </w:rPr>
        <w:t>d’éducation ?</w:t>
      </w:r>
      <w:r w:rsidRPr="00133B17">
        <w:rPr>
          <w:bCs/>
          <w:lang w:val="fr-FR"/>
        </w:rPr>
        <w:t xml:space="preserve"> (</w:t>
      </w:r>
      <w:proofErr w:type="gramStart"/>
      <w:r w:rsidR="003935B8">
        <w:rPr>
          <w:bCs/>
          <w:lang w:val="fr-FR"/>
        </w:rPr>
        <w:t>o</w:t>
      </w:r>
      <w:r w:rsidR="003935B8" w:rsidRPr="00133B17">
        <w:rPr>
          <w:bCs/>
          <w:lang w:val="fr-FR"/>
        </w:rPr>
        <w:t>u</w:t>
      </w:r>
      <w:proofErr w:type="gramEnd"/>
      <w:r w:rsidRPr="00133B17">
        <w:rPr>
          <w:bCs/>
          <w:lang w:val="fr-FR"/>
        </w:rPr>
        <w:t xml:space="preserve"> vice versa)</w:t>
      </w:r>
    </w:p>
    <w:p w14:paraId="4B3475D9" w14:textId="5D087D65" w:rsidR="00133B17" w:rsidRPr="00133B17" w:rsidRDefault="00133B17" w:rsidP="00133B17">
      <w:pPr>
        <w:pStyle w:val="ListParagraph"/>
        <w:rPr>
          <w:bCs/>
          <w:lang w:val="fr-FR"/>
        </w:rPr>
      </w:pPr>
      <w:r>
        <w:rPr>
          <w:bCs/>
          <w:lang w:val="fr-FR"/>
        </w:rPr>
        <w:t xml:space="preserve">              </w:t>
      </w:r>
      <w:r w:rsidRPr="00133B17">
        <w:rPr>
          <w:bCs/>
          <w:lang w:val="fr-FR"/>
        </w:rPr>
        <w:t>O</w:t>
      </w:r>
      <w:r>
        <w:rPr>
          <w:bCs/>
          <w:lang w:val="fr-FR"/>
        </w:rPr>
        <w:t xml:space="preserve">    </w:t>
      </w:r>
      <w:r w:rsidRPr="00133B17">
        <w:rPr>
          <w:bCs/>
          <w:lang w:val="fr-FR"/>
        </w:rPr>
        <w:t xml:space="preserve"> Mise en œuvre : Nombre d’activités mises en œuvre conjointement</w:t>
      </w:r>
    </w:p>
    <w:p w14:paraId="3699D46F" w14:textId="100299BC" w:rsidR="00133B17" w:rsidRPr="00133B17" w:rsidRDefault="00133B17" w:rsidP="00133B17">
      <w:pPr>
        <w:pStyle w:val="ListParagraph"/>
        <w:rPr>
          <w:bCs/>
          <w:lang w:val="fr-FR"/>
        </w:rPr>
      </w:pPr>
      <w:r>
        <w:rPr>
          <w:bCs/>
          <w:lang w:val="fr-FR"/>
        </w:rPr>
        <w:t xml:space="preserve">              </w:t>
      </w:r>
      <w:r w:rsidRPr="00133B17">
        <w:rPr>
          <w:bCs/>
          <w:lang w:val="fr-FR"/>
        </w:rPr>
        <w:t>O</w:t>
      </w:r>
      <w:r>
        <w:rPr>
          <w:bCs/>
          <w:lang w:val="fr-FR"/>
        </w:rPr>
        <w:t xml:space="preserve">    </w:t>
      </w:r>
      <w:r w:rsidR="003935B8">
        <w:rPr>
          <w:bCs/>
          <w:lang w:val="fr-FR"/>
        </w:rPr>
        <w:t xml:space="preserve"> Suivi</w:t>
      </w:r>
      <w:r w:rsidRPr="00133B17">
        <w:rPr>
          <w:bCs/>
          <w:lang w:val="fr-FR"/>
        </w:rPr>
        <w:t xml:space="preserve"> : Nombre d’indicateurs conjoints à surveiller</w:t>
      </w:r>
    </w:p>
    <w:p w14:paraId="6CBAD85B" w14:textId="3F74A661" w:rsidR="003935B8" w:rsidRPr="007E21CD" w:rsidRDefault="00133B17" w:rsidP="003935B8">
      <w:pPr>
        <w:pStyle w:val="ListParagraph"/>
        <w:rPr>
          <w:bCs/>
          <w:lang w:val="fr-FR"/>
        </w:rPr>
      </w:pPr>
      <w:r>
        <w:rPr>
          <w:bCs/>
          <w:lang w:val="fr-FR"/>
        </w:rPr>
        <w:t xml:space="preserve">              </w:t>
      </w:r>
      <w:r w:rsidRPr="00133B17">
        <w:rPr>
          <w:bCs/>
          <w:lang w:val="fr-FR"/>
        </w:rPr>
        <w:t>O</w:t>
      </w:r>
      <w:r>
        <w:rPr>
          <w:bCs/>
          <w:lang w:val="fr-FR"/>
        </w:rPr>
        <w:t xml:space="preserve">    </w:t>
      </w:r>
      <w:r w:rsidRPr="00133B17">
        <w:rPr>
          <w:bCs/>
          <w:lang w:val="fr-FR"/>
        </w:rPr>
        <w:t xml:space="preserve"> Coordination : Nombre de fois où les coordonnateurs ont </w:t>
      </w:r>
      <w:r w:rsidR="003935B8" w:rsidRPr="00133B17">
        <w:rPr>
          <w:bCs/>
          <w:lang w:val="fr-FR"/>
        </w:rPr>
        <w:t>assisté</w:t>
      </w:r>
      <w:r w:rsidRPr="00133B17">
        <w:rPr>
          <w:bCs/>
          <w:lang w:val="fr-FR"/>
        </w:rPr>
        <w:t xml:space="preserve"> aux réunions d’autres secteurs</w:t>
      </w:r>
      <w:r>
        <w:rPr>
          <w:bCs/>
          <w:lang w:val="fr-FR"/>
        </w:rPr>
        <w:t xml:space="preserve">    </w:t>
      </w:r>
    </w:p>
    <w:p w14:paraId="17D92AC5" w14:textId="70A4F2B2" w:rsidR="00080CB7" w:rsidRPr="001814A6" w:rsidRDefault="00080CB7" w:rsidP="00080CB7">
      <w:pPr>
        <w:rPr>
          <w:rFonts w:ascii="Calibri" w:eastAsia="Calibri" w:hAnsi="Calibri" w:cs="Calibri"/>
          <w:b/>
          <w:bCs/>
          <w:color w:val="EB3741"/>
          <w:lang w:val="fr-FR"/>
        </w:rPr>
      </w:pPr>
      <w:bookmarkStart w:id="5" w:name="Annex15"/>
      <w:r w:rsidRPr="001814A6">
        <w:rPr>
          <w:rFonts w:ascii="Calibri" w:eastAsia="Calibri" w:hAnsi="Calibri" w:cs="Calibri"/>
          <w:b/>
          <w:bCs/>
          <w:color w:val="EB3741"/>
          <w:lang w:val="fr-FR"/>
        </w:rPr>
        <w:lastRenderedPageBreak/>
        <w:t>Annex</w:t>
      </w:r>
      <w:r w:rsidR="003935B8" w:rsidRPr="001814A6">
        <w:rPr>
          <w:rFonts w:ascii="Calibri" w:eastAsia="Calibri" w:hAnsi="Calibri" w:cs="Calibri"/>
          <w:b/>
          <w:bCs/>
          <w:color w:val="EB3741"/>
          <w:lang w:val="fr-FR"/>
        </w:rPr>
        <w:t>e</w:t>
      </w:r>
      <w:r w:rsidRPr="001814A6">
        <w:rPr>
          <w:rFonts w:ascii="Calibri" w:eastAsia="Calibri" w:hAnsi="Calibri" w:cs="Calibri"/>
          <w:b/>
          <w:bCs/>
          <w:color w:val="EB3741"/>
          <w:lang w:val="fr-FR"/>
        </w:rPr>
        <w:t xml:space="preserve"> 1</w:t>
      </w:r>
      <w:r w:rsidR="00BE2A9E" w:rsidRPr="001814A6">
        <w:rPr>
          <w:rFonts w:ascii="Calibri" w:eastAsia="Calibri" w:hAnsi="Calibri" w:cs="Calibri"/>
          <w:b/>
          <w:bCs/>
          <w:color w:val="EB3741"/>
          <w:lang w:val="fr-FR"/>
        </w:rPr>
        <w:t>5</w:t>
      </w:r>
      <w:bookmarkEnd w:id="5"/>
      <w:r w:rsidR="003935B8" w:rsidRPr="001814A6">
        <w:rPr>
          <w:rFonts w:ascii="Calibri" w:eastAsia="Calibri" w:hAnsi="Calibri" w:cs="Calibri"/>
          <w:b/>
          <w:bCs/>
          <w:color w:val="EB3741"/>
          <w:lang w:val="fr-FR"/>
        </w:rPr>
        <w:t xml:space="preserve"> </w:t>
      </w:r>
      <w:r w:rsidRPr="001814A6">
        <w:rPr>
          <w:rFonts w:ascii="Calibri" w:eastAsia="Calibri" w:hAnsi="Calibri" w:cs="Calibri"/>
          <w:b/>
          <w:bCs/>
          <w:color w:val="EB3741"/>
          <w:lang w:val="fr-FR"/>
        </w:rPr>
        <w:t>:</w:t>
      </w:r>
      <w:r w:rsidRPr="001814A6">
        <w:rPr>
          <w:b/>
          <w:bCs/>
          <w:color w:val="EB3741"/>
          <w:lang w:val="fr-FR"/>
        </w:rPr>
        <w:t xml:space="preserve"> </w:t>
      </w:r>
      <w:r w:rsidR="003935B8" w:rsidRPr="001814A6">
        <w:rPr>
          <w:b/>
          <w:bCs/>
          <w:color w:val="EB3741"/>
          <w:lang w:val="fr-FR"/>
        </w:rPr>
        <w:t xml:space="preserve"> </w:t>
      </w:r>
      <w:r w:rsidR="001814A6" w:rsidRPr="001814A6">
        <w:rPr>
          <w:b/>
          <w:bCs/>
          <w:color w:val="EB3741"/>
          <w:lang w:val="fr-FR"/>
        </w:rPr>
        <w:t>Ressources de participation des enfants</w:t>
      </w:r>
      <w:r w:rsidR="003935B8" w:rsidRPr="001814A6">
        <w:rPr>
          <w:b/>
          <w:bCs/>
          <w:color w:val="EB3741"/>
          <w:lang w:val="fr-FR"/>
        </w:rPr>
        <w:t xml:space="preserve">   </w:t>
      </w:r>
    </w:p>
    <w:p w14:paraId="128E3404" w14:textId="409F6E42" w:rsidR="00B804C4" w:rsidRPr="003A19AB" w:rsidRDefault="00B804C4" w:rsidP="00B804C4">
      <w:pPr>
        <w:pStyle w:val="xmsocommenttext"/>
        <w:rPr>
          <w:sz w:val="20"/>
          <w:szCs w:val="20"/>
          <w:lang w:val="fr-FR"/>
        </w:rPr>
      </w:pPr>
      <w:r w:rsidRPr="00B804C4">
        <w:rPr>
          <w:sz w:val="20"/>
          <w:szCs w:val="20"/>
          <w:lang w:val="fr-FR"/>
        </w:rPr>
        <w:t xml:space="preserve">Le </w:t>
      </w:r>
      <w:r w:rsidR="007E21CD">
        <w:rPr>
          <w:sz w:val="20"/>
          <w:szCs w:val="20"/>
          <w:lang w:val="fr-FR"/>
        </w:rPr>
        <w:t>PE</w:t>
      </w:r>
      <w:r w:rsidRPr="00B804C4">
        <w:rPr>
          <w:sz w:val="20"/>
          <w:szCs w:val="20"/>
          <w:lang w:val="fr-FR"/>
        </w:rPr>
        <w:t xml:space="preserve"> et l’Éducation se concentrent tous deux sur les enfants comme groupe cible principal. Pour rendre des comptes aux enfants, les deux secteurs devraient intégrer la participation des enfants à chaque étape du cycle du programme humanitaire et encourager la facilitation par l’intermédiaire de partenaires. Dans la mesure du possible, les deux secteurs peuvent créer des systèmes communs pour maximiser l’expertise technique et les </w:t>
      </w:r>
      <w:r w:rsidRPr="003A19AB">
        <w:rPr>
          <w:sz w:val="20"/>
          <w:szCs w:val="20"/>
          <w:lang w:val="fr-FR"/>
        </w:rPr>
        <w:t>efforts des deux secteurs pour atteindre les enfants (par exemple, la mise en place d’une ligne téléphonique auxquelles les enfants peuvent accéder pour les deux secteurs, au lieu de mettre en place deux lignes d’assistance téléphonique).</w:t>
      </w:r>
    </w:p>
    <w:p w14:paraId="74F334D5" w14:textId="77777777" w:rsidR="00B804C4" w:rsidRPr="003A19AB" w:rsidRDefault="00B804C4" w:rsidP="00B804C4">
      <w:pPr>
        <w:pStyle w:val="xmsocommenttext"/>
        <w:rPr>
          <w:sz w:val="20"/>
          <w:szCs w:val="20"/>
          <w:lang w:val="fr-FR"/>
        </w:rPr>
      </w:pPr>
    </w:p>
    <w:p w14:paraId="23CC0ABC" w14:textId="7F308526" w:rsidR="00080CB7" w:rsidRPr="003A19AB" w:rsidRDefault="00B804C4" w:rsidP="007E21CD">
      <w:pPr>
        <w:pStyle w:val="xmsocommenttext"/>
        <w:spacing w:after="160"/>
        <w:rPr>
          <w:sz w:val="20"/>
          <w:szCs w:val="20"/>
          <w:lang w:val="fr-FR"/>
        </w:rPr>
      </w:pPr>
      <w:r w:rsidRPr="003A19AB">
        <w:rPr>
          <w:b/>
          <w:sz w:val="20"/>
          <w:szCs w:val="20"/>
          <w:lang w:val="fr-FR"/>
        </w:rPr>
        <w:t>Évaluation et analyse des besoins</w:t>
      </w:r>
      <w:r w:rsidRPr="003A19AB">
        <w:rPr>
          <w:sz w:val="20"/>
          <w:szCs w:val="20"/>
          <w:lang w:val="fr-FR"/>
        </w:rPr>
        <w:t xml:space="preserve"> – veiller à ce que perspective propre des enfants sur leurs besoins en matière de protection et d’éducation et les risques perçus soient intégrés à l’analyse des besoins sectoriels par leur participation à la conception d’évaluations ou par l’entremise des </w:t>
      </w:r>
      <w:proofErr w:type="spellStart"/>
      <w:r w:rsidRPr="003A19AB">
        <w:rPr>
          <w:sz w:val="20"/>
          <w:szCs w:val="20"/>
          <w:lang w:val="fr-FR"/>
        </w:rPr>
        <w:t>KIIs</w:t>
      </w:r>
      <w:proofErr w:type="spellEnd"/>
      <w:r w:rsidRPr="003A19AB">
        <w:rPr>
          <w:sz w:val="20"/>
          <w:szCs w:val="20"/>
          <w:lang w:val="fr-FR"/>
        </w:rPr>
        <w:t>/FGD</w:t>
      </w:r>
    </w:p>
    <w:p w14:paraId="6A4BA83F" w14:textId="234064A1" w:rsidR="00B804C4" w:rsidRPr="003A19AB" w:rsidRDefault="00D27B8B" w:rsidP="00B804C4">
      <w:pPr>
        <w:pStyle w:val="xmsocommenttext"/>
        <w:numPr>
          <w:ilvl w:val="0"/>
          <w:numId w:val="33"/>
        </w:numPr>
        <w:rPr>
          <w:sz w:val="20"/>
          <w:szCs w:val="20"/>
          <w:lang w:val="fr-FR"/>
        </w:rPr>
      </w:pPr>
      <w:hyperlink r:id="rId20" w:history="1">
        <w:r w:rsidR="00B804C4" w:rsidRPr="003A19AB">
          <w:rPr>
            <w:rStyle w:val="Hyperlink"/>
            <w:sz w:val="20"/>
            <w:szCs w:val="20"/>
            <w:lang w:val="fr-FR"/>
          </w:rPr>
          <w:t>Les Lignes directrices pour la participation des enfants aux programmes humanitaires</w:t>
        </w:r>
      </w:hyperlink>
      <w:r w:rsidR="00B804C4" w:rsidRPr="003A19AB">
        <w:rPr>
          <w:color w:val="0070C0"/>
          <w:sz w:val="20"/>
          <w:szCs w:val="20"/>
          <w:lang w:val="fr-FR"/>
        </w:rPr>
        <w:t xml:space="preserve"> </w:t>
      </w:r>
      <w:r w:rsidR="00B804C4" w:rsidRPr="003A19AB">
        <w:rPr>
          <w:sz w:val="20"/>
          <w:szCs w:val="20"/>
          <w:lang w:val="fr-FR"/>
        </w:rPr>
        <w:t>(Save the Children) pp 22-28 comprennent des considérations et des outils pour la participation des enfants aux évaluations des besoins</w:t>
      </w:r>
    </w:p>
    <w:p w14:paraId="4336F21D" w14:textId="2C863F7F" w:rsidR="00080CB7" w:rsidRPr="003A19AB" w:rsidRDefault="003F7362" w:rsidP="003F7362">
      <w:pPr>
        <w:pStyle w:val="xmsocommenttext"/>
        <w:numPr>
          <w:ilvl w:val="0"/>
          <w:numId w:val="33"/>
        </w:numPr>
        <w:spacing w:after="160"/>
        <w:rPr>
          <w:sz w:val="20"/>
          <w:szCs w:val="20"/>
          <w:lang w:val="fr-FR"/>
        </w:rPr>
      </w:pPr>
      <w:r w:rsidRPr="003A19AB">
        <w:rPr>
          <w:sz w:val="20"/>
          <w:szCs w:val="20"/>
          <w:lang w:val="fr-FR"/>
        </w:rPr>
        <w:t xml:space="preserve">Exemple de participation des enfants aux évaluations des besoins en Somalie </w:t>
      </w:r>
    </w:p>
    <w:p w14:paraId="724CBF58" w14:textId="62FBC7E9" w:rsidR="003F7362" w:rsidRPr="003A19AB" w:rsidRDefault="003F7362" w:rsidP="003F7362">
      <w:pPr>
        <w:pStyle w:val="xmsocommenttext"/>
        <w:rPr>
          <w:bCs/>
          <w:sz w:val="20"/>
          <w:szCs w:val="20"/>
          <w:lang w:val="fr-FR"/>
        </w:rPr>
      </w:pPr>
      <w:r w:rsidRPr="003A19AB">
        <w:rPr>
          <w:b/>
          <w:bCs/>
          <w:sz w:val="20"/>
          <w:szCs w:val="20"/>
          <w:lang w:val="fr-FR"/>
        </w:rPr>
        <w:t xml:space="preserve">Planification stratégique des interventions </w:t>
      </w:r>
      <w:r w:rsidRPr="003A19AB">
        <w:rPr>
          <w:bCs/>
          <w:sz w:val="20"/>
          <w:szCs w:val="20"/>
          <w:lang w:val="fr-FR"/>
        </w:rPr>
        <w:t xml:space="preserve">– les enfants peuvent participer à la conception de l’intervention en identifiant les mesures nécessaires, par exemple grâce à cet exercice </w:t>
      </w:r>
      <w:hyperlink r:id="rId21" w:history="1">
        <w:r w:rsidRPr="003A19AB">
          <w:rPr>
            <w:rStyle w:val="Hyperlink"/>
            <w:bCs/>
            <w:sz w:val="20"/>
            <w:szCs w:val="20"/>
            <w:lang w:val="fr-FR"/>
          </w:rPr>
          <w:t>Spider Tool</w:t>
        </w:r>
      </w:hyperlink>
      <w:r w:rsidRPr="003A19AB">
        <w:rPr>
          <w:bCs/>
          <w:color w:val="0070C0"/>
          <w:sz w:val="20"/>
          <w:szCs w:val="20"/>
          <w:lang w:val="fr-FR"/>
        </w:rPr>
        <w:t xml:space="preserve"> </w:t>
      </w:r>
      <w:r w:rsidRPr="003A19AB">
        <w:rPr>
          <w:bCs/>
          <w:sz w:val="20"/>
          <w:szCs w:val="20"/>
          <w:lang w:val="fr-FR"/>
        </w:rPr>
        <w:t>(Save the Children)</w:t>
      </w:r>
    </w:p>
    <w:p w14:paraId="308DD5C1" w14:textId="77777777" w:rsidR="003F7362" w:rsidRPr="003A19AB" w:rsidRDefault="003F7362" w:rsidP="003F7362">
      <w:pPr>
        <w:pStyle w:val="xmsocommenttext"/>
        <w:rPr>
          <w:b/>
          <w:bCs/>
          <w:sz w:val="20"/>
          <w:szCs w:val="20"/>
          <w:lang w:val="fr-FR"/>
        </w:rPr>
      </w:pPr>
    </w:p>
    <w:p w14:paraId="63A57442" w14:textId="5BF837DF" w:rsidR="00080CB7" w:rsidRPr="003A19AB" w:rsidRDefault="003F7362" w:rsidP="00080CB7">
      <w:pPr>
        <w:pStyle w:val="xmsocommenttext"/>
        <w:spacing w:after="160"/>
        <w:rPr>
          <w:sz w:val="20"/>
          <w:szCs w:val="20"/>
          <w:lang w:val="fr-FR"/>
        </w:rPr>
      </w:pPr>
      <w:r w:rsidRPr="003A19AB">
        <w:rPr>
          <w:b/>
          <w:bCs/>
          <w:sz w:val="20"/>
          <w:szCs w:val="20"/>
          <w:lang w:val="fr-FR"/>
        </w:rPr>
        <w:t xml:space="preserve">Mise en œuvre </w:t>
      </w:r>
      <w:r w:rsidRPr="003A19AB">
        <w:rPr>
          <w:bCs/>
          <w:sz w:val="20"/>
          <w:szCs w:val="20"/>
          <w:lang w:val="fr-FR"/>
        </w:rPr>
        <w:t>– la consultation des enfants pendant la période de mise en œuvre fournit des informations essentielles sur ce qui fonctionne et sur la façon d’apporter des améliorations</w:t>
      </w:r>
      <w:r w:rsidRPr="003A19AB">
        <w:rPr>
          <w:bCs/>
          <w:color w:val="0070C0"/>
          <w:sz w:val="20"/>
          <w:szCs w:val="20"/>
          <w:lang w:val="fr-FR"/>
        </w:rPr>
        <w:t xml:space="preserve">.  </w:t>
      </w:r>
      <w:hyperlink r:id="rId22" w:history="1">
        <w:r w:rsidR="003A19AB" w:rsidRPr="003A19AB">
          <w:rPr>
            <w:rStyle w:val="Hyperlink"/>
            <w:sz w:val="20"/>
            <w:szCs w:val="20"/>
            <w:lang w:val="fr-FR"/>
          </w:rPr>
          <w:t>Les Lignes directrices pour la participation des enfants aux programmes humanitaires</w:t>
        </w:r>
      </w:hyperlink>
      <w:r w:rsidR="003A19AB" w:rsidRPr="003A19AB">
        <w:rPr>
          <w:color w:val="0070C0"/>
          <w:sz w:val="20"/>
          <w:szCs w:val="20"/>
          <w:lang w:val="fr-FR"/>
        </w:rPr>
        <w:t xml:space="preserve"> </w:t>
      </w:r>
      <w:r w:rsidRPr="003A19AB">
        <w:rPr>
          <w:bCs/>
          <w:sz w:val="20"/>
          <w:szCs w:val="20"/>
          <w:lang w:val="fr-FR"/>
        </w:rPr>
        <w:t>pp 29-34 comprennent des considérations et des outils</w:t>
      </w:r>
      <w:r w:rsidRPr="003A19AB">
        <w:rPr>
          <w:b/>
          <w:bCs/>
          <w:sz w:val="20"/>
          <w:szCs w:val="20"/>
          <w:lang w:val="fr-FR"/>
        </w:rPr>
        <w:t xml:space="preserve">   </w:t>
      </w:r>
      <w:r w:rsidRPr="003A19AB">
        <w:rPr>
          <w:sz w:val="20"/>
          <w:szCs w:val="20"/>
          <w:lang w:val="fr-FR"/>
        </w:rPr>
        <w:t xml:space="preserve">       </w:t>
      </w:r>
    </w:p>
    <w:p w14:paraId="15866A13" w14:textId="77777777" w:rsidR="003F7362" w:rsidRPr="003A19AB" w:rsidRDefault="003F7362" w:rsidP="003F7362">
      <w:pPr>
        <w:pStyle w:val="xmsocommenttext"/>
        <w:rPr>
          <w:bCs/>
          <w:sz w:val="20"/>
          <w:szCs w:val="20"/>
          <w:lang w:val="fr-FR"/>
        </w:rPr>
      </w:pPr>
      <w:r w:rsidRPr="003A19AB">
        <w:rPr>
          <w:b/>
          <w:bCs/>
          <w:sz w:val="20"/>
          <w:szCs w:val="20"/>
          <w:lang w:val="fr-FR"/>
        </w:rPr>
        <w:t xml:space="preserve">Suivi et évaluation </w:t>
      </w:r>
      <w:r w:rsidRPr="003A19AB">
        <w:rPr>
          <w:bCs/>
          <w:sz w:val="20"/>
          <w:szCs w:val="20"/>
          <w:lang w:val="fr-FR"/>
        </w:rPr>
        <w:t>: établir des mécanismes de rétroaction et de responsabilisation adaptés aux enfants, et même travailler ensemble à l’établissement de mécanismes conjoints, à l’information des enfants sur les services reçus et leurs idées sur ce qui peut être fait différemment. Considérons non seulement la surveillance qualitative, mais quantitative, par exemple en ajoutant une question dans les 4W.</w:t>
      </w:r>
    </w:p>
    <w:p w14:paraId="60A008C2" w14:textId="46C99474" w:rsidR="003F7362" w:rsidRPr="003A19AB" w:rsidRDefault="002A5D17" w:rsidP="002A5D17">
      <w:pPr>
        <w:pStyle w:val="xmsocommenttext"/>
        <w:ind w:left="709" w:hanging="709"/>
        <w:rPr>
          <w:bCs/>
          <w:sz w:val="20"/>
          <w:szCs w:val="20"/>
          <w:lang w:val="fr-FR"/>
        </w:rPr>
      </w:pPr>
      <w:r w:rsidRPr="003A19AB">
        <w:rPr>
          <w:b/>
          <w:bCs/>
          <w:sz w:val="20"/>
          <w:szCs w:val="20"/>
          <w:lang w:val="fr-FR"/>
        </w:rPr>
        <w:t xml:space="preserve">        </w:t>
      </w:r>
      <w:r w:rsidR="003F7362" w:rsidRPr="003A19AB">
        <w:rPr>
          <w:bCs/>
          <w:sz w:val="20"/>
          <w:szCs w:val="20"/>
          <w:lang w:val="fr-FR"/>
        </w:rPr>
        <w:t>•</w:t>
      </w:r>
      <w:r w:rsidRPr="003A19AB">
        <w:rPr>
          <w:bCs/>
          <w:sz w:val="20"/>
          <w:szCs w:val="20"/>
          <w:lang w:val="fr-FR"/>
        </w:rPr>
        <w:t xml:space="preserve">     </w:t>
      </w:r>
      <w:r w:rsidR="003F7362" w:rsidRPr="003A19AB">
        <w:rPr>
          <w:bCs/>
          <w:sz w:val="20"/>
          <w:szCs w:val="20"/>
          <w:lang w:val="fr-FR"/>
        </w:rPr>
        <w:t xml:space="preserve"> </w:t>
      </w:r>
      <w:hyperlink r:id="rId23" w:history="1">
        <w:r w:rsidR="003A19AB" w:rsidRPr="003A19AB">
          <w:rPr>
            <w:rStyle w:val="Hyperlink"/>
            <w:sz w:val="20"/>
            <w:szCs w:val="20"/>
            <w:lang w:val="fr-FR"/>
          </w:rPr>
          <w:t>Les Lignes directrices pour la participation des enfants aux programmes humanitaires</w:t>
        </w:r>
      </w:hyperlink>
      <w:r w:rsidR="003F7362" w:rsidRPr="003A19AB">
        <w:rPr>
          <w:bCs/>
          <w:color w:val="0070C0"/>
          <w:sz w:val="20"/>
          <w:szCs w:val="20"/>
          <w:lang w:val="fr-FR"/>
        </w:rPr>
        <w:t xml:space="preserve"> </w:t>
      </w:r>
      <w:r w:rsidR="003F7362" w:rsidRPr="003A19AB">
        <w:rPr>
          <w:bCs/>
          <w:sz w:val="20"/>
          <w:szCs w:val="20"/>
          <w:lang w:val="fr-FR"/>
        </w:rPr>
        <w:t>(Save the Children) pp 22-29 comprennent des considérations et des outils pour la participation des enfants à la surveillance et pp 35-38 pour l’évaluation</w:t>
      </w:r>
    </w:p>
    <w:p w14:paraId="767CDA9B" w14:textId="3BC76D75" w:rsidR="003F7362" w:rsidRPr="003A19AB" w:rsidRDefault="002A5D17" w:rsidP="002A5D17">
      <w:pPr>
        <w:pStyle w:val="xmsocommenttext"/>
        <w:ind w:left="709" w:hanging="709"/>
        <w:rPr>
          <w:bCs/>
          <w:sz w:val="20"/>
          <w:szCs w:val="20"/>
          <w:lang w:val="fr-FR"/>
        </w:rPr>
      </w:pPr>
      <w:r w:rsidRPr="003A19AB">
        <w:rPr>
          <w:b/>
          <w:bCs/>
          <w:sz w:val="20"/>
          <w:szCs w:val="20"/>
          <w:lang w:val="fr-FR"/>
        </w:rPr>
        <w:t xml:space="preserve">        </w:t>
      </w:r>
      <w:r w:rsidR="003F7362" w:rsidRPr="003A19AB">
        <w:rPr>
          <w:bCs/>
          <w:sz w:val="20"/>
          <w:szCs w:val="20"/>
          <w:lang w:val="fr-FR"/>
        </w:rPr>
        <w:t>•</w:t>
      </w:r>
      <w:r w:rsidRPr="003A19AB">
        <w:rPr>
          <w:bCs/>
          <w:sz w:val="20"/>
          <w:szCs w:val="20"/>
          <w:lang w:val="fr-FR"/>
        </w:rPr>
        <w:t xml:space="preserve">     </w:t>
      </w:r>
      <w:r w:rsidR="003F7362" w:rsidRPr="003A19AB">
        <w:rPr>
          <w:bCs/>
          <w:sz w:val="20"/>
          <w:szCs w:val="20"/>
          <w:lang w:val="fr-FR"/>
        </w:rPr>
        <w:t xml:space="preserve"> Le</w:t>
      </w:r>
      <w:r w:rsidR="00AC2134" w:rsidRPr="003A19AB">
        <w:rPr>
          <w:bCs/>
          <w:sz w:val="20"/>
          <w:szCs w:val="20"/>
          <w:lang w:val="fr-FR"/>
        </w:rPr>
        <w:t>s enfants peuvent participer au suivi de l’intervention</w:t>
      </w:r>
      <w:r w:rsidR="003F7362" w:rsidRPr="003A19AB">
        <w:rPr>
          <w:bCs/>
          <w:sz w:val="20"/>
          <w:szCs w:val="20"/>
          <w:lang w:val="fr-FR"/>
        </w:rPr>
        <w:t xml:space="preserve"> en identifiant si ce qui est fait fonctionne vraiment pour eux, par exemple grâce à cet exercice Save the Children </w:t>
      </w:r>
      <w:hyperlink r:id="rId24" w:history="1">
        <w:r w:rsidR="003A19AB" w:rsidRPr="003A19AB">
          <w:rPr>
            <w:rStyle w:val="Hyperlink"/>
            <w:bCs/>
            <w:sz w:val="20"/>
            <w:szCs w:val="20"/>
            <w:lang w:val="fr-FR"/>
          </w:rPr>
          <w:t>Spider Tool</w:t>
        </w:r>
      </w:hyperlink>
    </w:p>
    <w:p w14:paraId="77768DFD" w14:textId="54E12970" w:rsidR="00080CB7" w:rsidRPr="003A19AB" w:rsidRDefault="002A5D17" w:rsidP="002A5D17">
      <w:pPr>
        <w:pStyle w:val="xmsocommenttext"/>
        <w:ind w:left="709" w:hanging="709"/>
        <w:rPr>
          <w:sz w:val="20"/>
          <w:szCs w:val="20"/>
          <w:lang w:val="fr-FR"/>
        </w:rPr>
      </w:pPr>
      <w:r w:rsidRPr="003A19AB">
        <w:rPr>
          <w:bCs/>
          <w:sz w:val="20"/>
          <w:szCs w:val="20"/>
          <w:lang w:val="fr-FR"/>
        </w:rPr>
        <w:t xml:space="preserve">        </w:t>
      </w:r>
      <w:r w:rsidR="003F7362" w:rsidRPr="003A19AB">
        <w:rPr>
          <w:bCs/>
          <w:sz w:val="20"/>
          <w:szCs w:val="20"/>
          <w:lang w:val="fr-FR"/>
        </w:rPr>
        <w:t>•</w:t>
      </w:r>
      <w:r w:rsidRPr="003A19AB">
        <w:rPr>
          <w:bCs/>
          <w:sz w:val="20"/>
          <w:szCs w:val="20"/>
          <w:lang w:val="fr-FR"/>
        </w:rPr>
        <w:t xml:space="preserve">     </w:t>
      </w:r>
      <w:r w:rsidR="003F7362" w:rsidRPr="003A19AB">
        <w:rPr>
          <w:bCs/>
          <w:sz w:val="20"/>
          <w:szCs w:val="20"/>
          <w:lang w:val="fr-FR"/>
        </w:rPr>
        <w:t xml:space="preserve"> </w:t>
      </w:r>
      <w:r w:rsidRPr="003A19AB">
        <w:rPr>
          <w:bCs/>
          <w:sz w:val="20"/>
          <w:szCs w:val="20"/>
          <w:lang w:val="fr-FR"/>
        </w:rPr>
        <w:t xml:space="preserve">Le présent </w:t>
      </w:r>
      <w:r w:rsidRPr="003A19AB">
        <w:rPr>
          <w:bCs/>
          <w:color w:val="0070C0"/>
          <w:sz w:val="20"/>
          <w:szCs w:val="20"/>
          <w:lang w:val="fr-FR"/>
        </w:rPr>
        <w:t>Outil de Suivi et d’E</w:t>
      </w:r>
      <w:r w:rsidR="003F7362" w:rsidRPr="003A19AB">
        <w:rPr>
          <w:bCs/>
          <w:color w:val="0070C0"/>
          <w:sz w:val="20"/>
          <w:szCs w:val="20"/>
          <w:lang w:val="fr-FR"/>
        </w:rPr>
        <w:t>valuation de la participatio</w:t>
      </w:r>
      <w:r w:rsidRPr="003A19AB">
        <w:rPr>
          <w:bCs/>
          <w:color w:val="0070C0"/>
          <w:sz w:val="20"/>
          <w:szCs w:val="20"/>
          <w:lang w:val="fr-FR"/>
        </w:rPr>
        <w:t xml:space="preserve">n des enfants </w:t>
      </w:r>
      <w:r w:rsidRPr="003A19AB">
        <w:rPr>
          <w:bCs/>
          <w:sz w:val="20"/>
          <w:szCs w:val="20"/>
          <w:lang w:val="fr-FR"/>
        </w:rPr>
        <w:t>(inter-organisme</w:t>
      </w:r>
      <w:r w:rsidR="003F7362" w:rsidRPr="003A19AB">
        <w:rPr>
          <w:bCs/>
          <w:sz w:val="20"/>
          <w:szCs w:val="20"/>
          <w:lang w:val="fr-FR"/>
        </w:rPr>
        <w:t xml:space="preserve">) a des orientations étape par étape sur de nombreuses activités de suivi et d’évaluation qui impliquent la participation des enfants et qui mesurent la portée, la qualité et les résultats de la participation des enfants     </w:t>
      </w:r>
    </w:p>
    <w:p w14:paraId="0F744CFB" w14:textId="417A5038" w:rsidR="00080CB7" w:rsidRPr="003A19AB" w:rsidRDefault="003A19AB" w:rsidP="00080CB7">
      <w:pPr>
        <w:pStyle w:val="xmsocommenttext"/>
        <w:spacing w:after="160"/>
        <w:rPr>
          <w:sz w:val="20"/>
          <w:szCs w:val="20"/>
          <w:lang w:val="fr-FR"/>
        </w:rPr>
      </w:pPr>
      <w:r w:rsidRPr="003A19AB">
        <w:rPr>
          <w:noProof/>
          <w:sz w:val="20"/>
          <w:szCs w:val="20"/>
          <w:lang w:val="fr-FR" w:eastAsia="fr-FR"/>
        </w:rPr>
        <w:drawing>
          <wp:anchor distT="0" distB="0" distL="114300" distR="114300" simplePos="0" relativeHeight="251663360" behindDoc="0" locked="0" layoutInCell="1" allowOverlap="1" wp14:anchorId="0AA4FB29" wp14:editId="48F25149">
            <wp:simplePos x="0" y="0"/>
            <wp:positionH relativeFrom="margin">
              <wp:posOffset>817245</wp:posOffset>
            </wp:positionH>
            <wp:positionV relativeFrom="paragraph">
              <wp:posOffset>537845</wp:posOffset>
            </wp:positionV>
            <wp:extent cx="5848710" cy="3675285"/>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848710" cy="3675285"/>
                    </a:xfrm>
                    <a:prstGeom prst="rect">
                      <a:avLst/>
                    </a:prstGeom>
                  </pic:spPr>
                </pic:pic>
              </a:graphicData>
            </a:graphic>
            <wp14:sizeRelH relativeFrom="margin">
              <wp14:pctWidth>0</wp14:pctWidth>
            </wp14:sizeRelH>
            <wp14:sizeRelV relativeFrom="margin">
              <wp14:pctHeight>0</wp14:pctHeight>
            </wp14:sizeRelV>
          </wp:anchor>
        </w:drawing>
      </w:r>
      <w:r w:rsidR="00AC2134" w:rsidRPr="003A19AB">
        <w:rPr>
          <w:sz w:val="20"/>
          <w:szCs w:val="20"/>
          <w:lang w:val="fr-FR"/>
        </w:rPr>
        <w:t>Toujours considérer et atténuer conjointement les risques liés à la participation des enfants. Le tableau suivant est tiré des</w:t>
      </w:r>
      <w:r w:rsidRPr="003A19AB">
        <w:rPr>
          <w:sz w:val="20"/>
          <w:szCs w:val="20"/>
          <w:lang w:val="fr-FR"/>
        </w:rPr>
        <w:t xml:space="preserve"> </w:t>
      </w:r>
      <w:hyperlink r:id="rId26" w:history="1">
        <w:r w:rsidRPr="003A19AB">
          <w:rPr>
            <w:rStyle w:val="Hyperlink"/>
            <w:sz w:val="20"/>
            <w:szCs w:val="20"/>
            <w:lang w:val="fr-FR"/>
          </w:rPr>
          <w:t>Lignes directrices pour la participation des enfants aux programmes humanitaires</w:t>
        </w:r>
      </w:hyperlink>
      <w:r w:rsidRPr="003A19AB">
        <w:rPr>
          <w:bCs/>
          <w:color w:val="0070C0"/>
          <w:sz w:val="20"/>
          <w:szCs w:val="20"/>
          <w:lang w:val="fr-FR"/>
        </w:rPr>
        <w:t xml:space="preserve"> </w:t>
      </w:r>
      <w:r w:rsidRPr="003A19AB">
        <w:rPr>
          <w:bCs/>
          <w:sz w:val="20"/>
          <w:szCs w:val="20"/>
          <w:lang w:val="fr-FR"/>
        </w:rPr>
        <w:t>(</w:t>
      </w:r>
      <w:r w:rsidR="00AC2134" w:rsidRPr="003A19AB">
        <w:rPr>
          <w:sz w:val="20"/>
          <w:szCs w:val="20"/>
          <w:lang w:val="fr-FR"/>
        </w:rPr>
        <w:t xml:space="preserve">Save the Children) p 18 et pourrait être une première étape vers une planification conjointe :          </w:t>
      </w:r>
    </w:p>
    <w:p w14:paraId="7BB9E397" w14:textId="3296A0E0" w:rsidR="00080CB7" w:rsidRPr="007E21CD" w:rsidRDefault="00080CB7" w:rsidP="00080CB7">
      <w:pPr>
        <w:pStyle w:val="xmsocommenttext"/>
        <w:spacing w:after="160"/>
        <w:rPr>
          <w:sz w:val="20"/>
          <w:szCs w:val="20"/>
          <w:lang w:val="fr-FR"/>
        </w:rPr>
      </w:pPr>
    </w:p>
    <w:p w14:paraId="255D10B7" w14:textId="7CDA6C35" w:rsidR="00080CB7" w:rsidRPr="007E21CD" w:rsidRDefault="00080CB7" w:rsidP="00080CB7">
      <w:pPr>
        <w:rPr>
          <w:bCs/>
          <w:lang w:val="fr-FR"/>
        </w:rPr>
      </w:pPr>
    </w:p>
    <w:p w14:paraId="7E5715DE" w14:textId="63B1C594" w:rsidR="00080CB7" w:rsidRPr="007E21CD" w:rsidRDefault="00080CB7" w:rsidP="00080CB7">
      <w:pPr>
        <w:rPr>
          <w:bCs/>
          <w:lang w:val="fr-FR"/>
        </w:rPr>
      </w:pPr>
    </w:p>
    <w:p w14:paraId="6DEEDA3C" w14:textId="4B2ADFDF" w:rsidR="00080CB7" w:rsidRPr="007E21CD" w:rsidRDefault="00080CB7" w:rsidP="00080CB7">
      <w:pPr>
        <w:rPr>
          <w:bCs/>
          <w:lang w:val="fr-FR"/>
        </w:rPr>
      </w:pPr>
    </w:p>
    <w:p w14:paraId="7F3721E9" w14:textId="76B0B98D" w:rsidR="00080CB7" w:rsidRPr="007E21CD" w:rsidRDefault="00080CB7" w:rsidP="00080CB7">
      <w:pPr>
        <w:rPr>
          <w:bCs/>
          <w:lang w:val="fr-FR"/>
        </w:rPr>
      </w:pPr>
    </w:p>
    <w:p w14:paraId="011CDA10" w14:textId="77777777" w:rsidR="00080CB7" w:rsidRPr="007E21CD" w:rsidRDefault="00080CB7" w:rsidP="00080CB7">
      <w:pPr>
        <w:rPr>
          <w:bCs/>
          <w:lang w:val="fr-FR"/>
        </w:rPr>
      </w:pPr>
    </w:p>
    <w:p w14:paraId="4AE65960" w14:textId="77777777" w:rsidR="00080CB7" w:rsidRPr="007E21CD" w:rsidRDefault="00080CB7" w:rsidP="00080CB7">
      <w:pPr>
        <w:rPr>
          <w:bCs/>
          <w:lang w:val="fr-FR"/>
        </w:rPr>
      </w:pPr>
    </w:p>
    <w:p w14:paraId="01FF8F3F" w14:textId="77777777" w:rsidR="00080CB7" w:rsidRPr="007E21CD" w:rsidRDefault="00080CB7" w:rsidP="00080CB7">
      <w:pPr>
        <w:rPr>
          <w:bCs/>
          <w:lang w:val="fr-FR"/>
        </w:rPr>
      </w:pPr>
    </w:p>
    <w:p w14:paraId="7FE6851C" w14:textId="032A2BBD" w:rsidR="00080CB7" w:rsidRPr="003A19AB" w:rsidRDefault="00080CB7" w:rsidP="00080CB7">
      <w:pPr>
        <w:jc w:val="both"/>
        <w:rPr>
          <w:sz w:val="20"/>
          <w:szCs w:val="20"/>
          <w:lang w:val="fr-FR"/>
        </w:rPr>
      </w:pPr>
    </w:p>
    <w:sectPr w:rsidR="00080CB7" w:rsidRPr="003A19AB" w:rsidSect="008F39F2">
      <w:headerReference w:type="default" r:id="rId27"/>
      <w:pgSz w:w="12240" w:h="15840"/>
      <w:pgMar w:top="993" w:right="720" w:bottom="720" w:left="72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C139F7" w14:textId="77777777" w:rsidR="00D27B8B" w:rsidRDefault="00D27B8B" w:rsidP="004D291C">
      <w:pPr>
        <w:spacing w:after="0" w:line="240" w:lineRule="auto"/>
      </w:pPr>
      <w:r>
        <w:separator/>
      </w:r>
    </w:p>
  </w:endnote>
  <w:endnote w:type="continuationSeparator" w:id="0">
    <w:p w14:paraId="67FBE932" w14:textId="77777777" w:rsidR="00D27B8B" w:rsidRDefault="00D27B8B" w:rsidP="004D2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5044D" w14:textId="77777777" w:rsidR="00D27B8B" w:rsidRDefault="00D27B8B" w:rsidP="004D291C">
      <w:pPr>
        <w:spacing w:after="0" w:line="240" w:lineRule="auto"/>
      </w:pPr>
      <w:r>
        <w:separator/>
      </w:r>
    </w:p>
  </w:footnote>
  <w:footnote w:type="continuationSeparator" w:id="0">
    <w:p w14:paraId="40459394" w14:textId="77777777" w:rsidR="00D27B8B" w:rsidRDefault="00D27B8B" w:rsidP="004D2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C72A7" w14:textId="0A6642DE" w:rsidR="00985B6B" w:rsidRPr="008C132E" w:rsidRDefault="007E21CD" w:rsidP="007E21CD">
    <w:pPr>
      <w:rPr>
        <w:sz w:val="28"/>
        <w:szCs w:val="28"/>
        <w:u w:val="single"/>
        <w:lang w:val="fr-FR"/>
      </w:rPr>
    </w:pPr>
    <w:r w:rsidRPr="00BB34F7">
      <w:rPr>
        <w:noProof/>
        <w:sz w:val="28"/>
        <w:szCs w:val="28"/>
        <w:u w:val="single"/>
        <w:lang w:val="fr-FR" w:eastAsia="fr-FR"/>
      </w:rPr>
      <w:drawing>
        <wp:anchor distT="0" distB="0" distL="114300" distR="114300" simplePos="0" relativeHeight="251660288" behindDoc="0" locked="0" layoutInCell="1" allowOverlap="1" wp14:anchorId="06A4F42D" wp14:editId="1A8A10C6">
          <wp:simplePos x="0" y="0"/>
          <wp:positionH relativeFrom="column">
            <wp:posOffset>5725570</wp:posOffset>
          </wp:positionH>
          <wp:positionV relativeFrom="paragraph">
            <wp:posOffset>-119380</wp:posOffset>
          </wp:positionV>
          <wp:extent cx="545690" cy="563880"/>
          <wp:effectExtent l="0" t="0" r="6985" b="762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pic:cNvPicPr>
                </pic:nvPicPr>
                <pic:blipFill>
                  <a:blip r:embed="rId1"/>
                  <a:stretch>
                    <a:fillRect/>
                  </a:stretch>
                </pic:blipFill>
                <pic:spPr>
                  <a:xfrm>
                    <a:off x="0" y="0"/>
                    <a:ext cx="549087" cy="567391"/>
                  </a:xfrm>
                  <a:prstGeom prst="rect">
                    <a:avLst/>
                  </a:prstGeom>
                </pic:spPr>
              </pic:pic>
            </a:graphicData>
          </a:graphic>
          <wp14:sizeRelH relativeFrom="page">
            <wp14:pctWidth>0</wp14:pctWidth>
          </wp14:sizeRelH>
          <wp14:sizeRelV relativeFrom="page">
            <wp14:pctHeight>0</wp14:pctHeight>
          </wp14:sizeRelV>
        </wp:anchor>
      </w:drawing>
    </w:r>
    <w:r w:rsidR="00985B6B" w:rsidRPr="00BB34F7">
      <w:rPr>
        <w:noProof/>
        <w:sz w:val="28"/>
        <w:szCs w:val="28"/>
        <w:u w:val="single"/>
        <w:lang w:val="fr-FR" w:eastAsia="fr-FR"/>
      </w:rPr>
      <w:drawing>
        <wp:anchor distT="0" distB="0" distL="114300" distR="114300" simplePos="0" relativeHeight="251659264" behindDoc="0" locked="0" layoutInCell="1" allowOverlap="1" wp14:anchorId="500F2C66" wp14:editId="10200130">
          <wp:simplePos x="0" y="0"/>
          <wp:positionH relativeFrom="column">
            <wp:posOffset>6503319</wp:posOffset>
          </wp:positionH>
          <wp:positionV relativeFrom="paragraph">
            <wp:posOffset>-20320</wp:posOffset>
          </wp:positionV>
          <wp:extent cx="667451" cy="266065"/>
          <wp:effectExtent l="0" t="0" r="0" b="635"/>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stretch>
                    <a:fillRect/>
                  </a:stretch>
                </pic:blipFill>
                <pic:spPr bwMode="auto">
                  <a:xfrm>
                    <a:off x="0" y="0"/>
                    <a:ext cx="667451" cy="266065"/>
                  </a:xfrm>
                  <a:prstGeom prst="rect">
                    <a:avLst/>
                  </a:prstGeom>
                  <a:noFill/>
                </pic:spPr>
              </pic:pic>
            </a:graphicData>
          </a:graphic>
          <wp14:sizeRelH relativeFrom="page">
            <wp14:pctWidth>0</wp14:pctWidth>
          </wp14:sizeRelH>
          <wp14:sizeRelV relativeFrom="page">
            <wp14:pctHeight>0</wp14:pctHeight>
          </wp14:sizeRelV>
        </wp:anchor>
      </w:drawing>
    </w:r>
    <w:r w:rsidRPr="007E21CD">
      <w:rPr>
        <w:sz w:val="28"/>
        <w:szCs w:val="28"/>
        <w:u w:val="single"/>
        <w:lang w:val="fr-FR"/>
      </w:rPr>
      <w:t xml:space="preserve"> </w:t>
    </w:r>
    <w:r w:rsidRPr="00CF43DC">
      <w:rPr>
        <w:sz w:val="28"/>
        <w:szCs w:val="28"/>
        <w:u w:val="single"/>
        <w:lang w:val="fr-FR"/>
      </w:rPr>
      <w:t>Cadre pour la Collaboration dans la Coordination PE-ESU</w:t>
    </w:r>
    <w:r>
      <w:rPr>
        <w:sz w:val="28"/>
        <w:szCs w:val="28"/>
        <w:u w:val="single"/>
        <w:lang w:val="fr-FR"/>
      </w:rPr>
      <w:t xml:space="preserve"> - </w:t>
    </w:r>
    <w:hyperlink r:id="rId3" w:history="1">
      <w:r>
        <w:rPr>
          <w:rStyle w:val="Hyperlink"/>
          <w:sz w:val="28"/>
          <w:szCs w:val="28"/>
          <w:lang w:val="fr-FR"/>
        </w:rPr>
        <w:t>paquet de soutien</w:t>
      </w:r>
    </w:hyperlink>
    <w:r w:rsidR="00985B6B" w:rsidRPr="008C132E">
      <w:rPr>
        <w:sz w:val="28"/>
        <w:szCs w:val="28"/>
        <w:u w:val="single"/>
        <w:lang w:val="fr-F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10C9D"/>
    <w:multiLevelType w:val="multilevel"/>
    <w:tmpl w:val="2C52B85A"/>
    <w:lvl w:ilvl="0">
      <w:start w:val="2"/>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0A56036"/>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8207B6"/>
    <w:multiLevelType w:val="hybridMultilevel"/>
    <w:tmpl w:val="E9B0B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B86CA9"/>
    <w:multiLevelType w:val="hybridMultilevel"/>
    <w:tmpl w:val="8B4C6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644C4B"/>
    <w:multiLevelType w:val="hybridMultilevel"/>
    <w:tmpl w:val="1F08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1D5237"/>
    <w:multiLevelType w:val="multilevel"/>
    <w:tmpl w:val="A12CB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03010C"/>
    <w:multiLevelType w:val="hybridMultilevel"/>
    <w:tmpl w:val="B95A4BE4"/>
    <w:lvl w:ilvl="0" w:tplc="F8A0D27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F3065F"/>
    <w:multiLevelType w:val="hybridMultilevel"/>
    <w:tmpl w:val="4E8E0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236E5E"/>
    <w:multiLevelType w:val="hybridMultilevel"/>
    <w:tmpl w:val="CD700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7E680A"/>
    <w:multiLevelType w:val="hybridMultilevel"/>
    <w:tmpl w:val="BD38C6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4980FEF"/>
    <w:multiLevelType w:val="multilevel"/>
    <w:tmpl w:val="C42C702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B034B2"/>
    <w:multiLevelType w:val="hybridMultilevel"/>
    <w:tmpl w:val="903E40D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642708"/>
    <w:multiLevelType w:val="hybridMultilevel"/>
    <w:tmpl w:val="42E6E2F6"/>
    <w:lvl w:ilvl="0" w:tplc="BC4078E4">
      <w:start w:val="1"/>
      <w:numFmt w:val="decimal"/>
      <w:lvlText w:val="%1."/>
      <w:lvlJc w:val="left"/>
      <w:pPr>
        <w:ind w:left="720" w:hanging="360"/>
      </w:pPr>
    </w:lvl>
    <w:lvl w:ilvl="1" w:tplc="52F4D516">
      <w:start w:val="1"/>
      <w:numFmt w:val="lowerLetter"/>
      <w:lvlText w:val="%2."/>
      <w:lvlJc w:val="left"/>
      <w:pPr>
        <w:ind w:left="1440" w:hanging="360"/>
      </w:pPr>
    </w:lvl>
    <w:lvl w:ilvl="2" w:tplc="5A7CD6E6">
      <w:start w:val="1"/>
      <w:numFmt w:val="lowerRoman"/>
      <w:lvlText w:val="%3."/>
      <w:lvlJc w:val="right"/>
      <w:pPr>
        <w:ind w:left="2160" w:hanging="180"/>
      </w:pPr>
    </w:lvl>
    <w:lvl w:ilvl="3" w:tplc="F662A432">
      <w:start w:val="1"/>
      <w:numFmt w:val="decimal"/>
      <w:lvlText w:val="%4."/>
      <w:lvlJc w:val="left"/>
      <w:pPr>
        <w:ind w:left="2880" w:hanging="360"/>
      </w:pPr>
    </w:lvl>
    <w:lvl w:ilvl="4" w:tplc="C09E2120">
      <w:start w:val="1"/>
      <w:numFmt w:val="lowerLetter"/>
      <w:lvlText w:val="%5."/>
      <w:lvlJc w:val="left"/>
      <w:pPr>
        <w:ind w:left="3600" w:hanging="360"/>
      </w:pPr>
    </w:lvl>
    <w:lvl w:ilvl="5" w:tplc="3E524376">
      <w:start w:val="1"/>
      <w:numFmt w:val="lowerRoman"/>
      <w:lvlText w:val="%6."/>
      <w:lvlJc w:val="right"/>
      <w:pPr>
        <w:ind w:left="4320" w:hanging="180"/>
      </w:pPr>
    </w:lvl>
    <w:lvl w:ilvl="6" w:tplc="58CE4802">
      <w:start w:val="1"/>
      <w:numFmt w:val="decimal"/>
      <w:lvlText w:val="%7."/>
      <w:lvlJc w:val="left"/>
      <w:pPr>
        <w:ind w:left="5040" w:hanging="360"/>
      </w:pPr>
    </w:lvl>
    <w:lvl w:ilvl="7" w:tplc="01EC1958">
      <w:start w:val="1"/>
      <w:numFmt w:val="lowerLetter"/>
      <w:lvlText w:val="%8."/>
      <w:lvlJc w:val="left"/>
      <w:pPr>
        <w:ind w:left="5760" w:hanging="360"/>
      </w:pPr>
    </w:lvl>
    <w:lvl w:ilvl="8" w:tplc="A5B47FDA">
      <w:start w:val="1"/>
      <w:numFmt w:val="lowerRoman"/>
      <w:lvlText w:val="%9."/>
      <w:lvlJc w:val="right"/>
      <w:pPr>
        <w:ind w:left="6480" w:hanging="180"/>
      </w:pPr>
    </w:lvl>
  </w:abstractNum>
  <w:abstractNum w:abstractNumId="13" w15:restartNumberingAfterBreak="0">
    <w:nsid w:val="2BB73FD8"/>
    <w:multiLevelType w:val="hybridMultilevel"/>
    <w:tmpl w:val="156E931A"/>
    <w:lvl w:ilvl="0" w:tplc="C9A0AA9E">
      <w:numFmt w:val="bullet"/>
      <w:lvlText w:val=""/>
      <w:lvlJc w:val="left"/>
      <w:pPr>
        <w:ind w:left="467" w:hanging="360"/>
      </w:pPr>
      <w:rPr>
        <w:rFonts w:ascii="Symbol" w:eastAsia="Symbol" w:hAnsi="Symbol" w:cs="Symbol" w:hint="default"/>
        <w:w w:val="99"/>
        <w:sz w:val="20"/>
        <w:szCs w:val="20"/>
        <w:lang w:val="en-US" w:eastAsia="en-US" w:bidi="en-US"/>
      </w:rPr>
    </w:lvl>
    <w:lvl w:ilvl="1" w:tplc="F1920B66">
      <w:numFmt w:val="bullet"/>
      <w:lvlText w:val="•"/>
      <w:lvlJc w:val="left"/>
      <w:pPr>
        <w:ind w:left="962" w:hanging="360"/>
      </w:pPr>
      <w:rPr>
        <w:lang w:val="en-US" w:eastAsia="en-US" w:bidi="en-US"/>
      </w:rPr>
    </w:lvl>
    <w:lvl w:ilvl="2" w:tplc="898E85EE">
      <w:numFmt w:val="bullet"/>
      <w:lvlText w:val="•"/>
      <w:lvlJc w:val="left"/>
      <w:pPr>
        <w:ind w:left="1464" w:hanging="360"/>
      </w:pPr>
      <w:rPr>
        <w:lang w:val="en-US" w:eastAsia="en-US" w:bidi="en-US"/>
      </w:rPr>
    </w:lvl>
    <w:lvl w:ilvl="3" w:tplc="9AE48AAE">
      <w:numFmt w:val="bullet"/>
      <w:lvlText w:val="•"/>
      <w:lvlJc w:val="left"/>
      <w:pPr>
        <w:ind w:left="1966" w:hanging="360"/>
      </w:pPr>
      <w:rPr>
        <w:lang w:val="en-US" w:eastAsia="en-US" w:bidi="en-US"/>
      </w:rPr>
    </w:lvl>
    <w:lvl w:ilvl="4" w:tplc="A410A3A4">
      <w:numFmt w:val="bullet"/>
      <w:lvlText w:val="•"/>
      <w:lvlJc w:val="left"/>
      <w:pPr>
        <w:ind w:left="2468" w:hanging="360"/>
      </w:pPr>
      <w:rPr>
        <w:lang w:val="en-US" w:eastAsia="en-US" w:bidi="en-US"/>
      </w:rPr>
    </w:lvl>
    <w:lvl w:ilvl="5" w:tplc="6A826826">
      <w:numFmt w:val="bullet"/>
      <w:lvlText w:val="•"/>
      <w:lvlJc w:val="left"/>
      <w:pPr>
        <w:ind w:left="2971" w:hanging="360"/>
      </w:pPr>
      <w:rPr>
        <w:lang w:val="en-US" w:eastAsia="en-US" w:bidi="en-US"/>
      </w:rPr>
    </w:lvl>
    <w:lvl w:ilvl="6" w:tplc="F080E77A">
      <w:numFmt w:val="bullet"/>
      <w:lvlText w:val="•"/>
      <w:lvlJc w:val="left"/>
      <w:pPr>
        <w:ind w:left="3473" w:hanging="360"/>
      </w:pPr>
      <w:rPr>
        <w:lang w:val="en-US" w:eastAsia="en-US" w:bidi="en-US"/>
      </w:rPr>
    </w:lvl>
    <w:lvl w:ilvl="7" w:tplc="ED4E6BDC">
      <w:numFmt w:val="bullet"/>
      <w:lvlText w:val="•"/>
      <w:lvlJc w:val="left"/>
      <w:pPr>
        <w:ind w:left="3975" w:hanging="360"/>
      </w:pPr>
      <w:rPr>
        <w:lang w:val="en-US" w:eastAsia="en-US" w:bidi="en-US"/>
      </w:rPr>
    </w:lvl>
    <w:lvl w:ilvl="8" w:tplc="3EACB32A">
      <w:numFmt w:val="bullet"/>
      <w:lvlText w:val="•"/>
      <w:lvlJc w:val="left"/>
      <w:pPr>
        <w:ind w:left="4477" w:hanging="360"/>
      </w:pPr>
      <w:rPr>
        <w:lang w:val="en-US" w:eastAsia="en-US" w:bidi="en-US"/>
      </w:rPr>
    </w:lvl>
  </w:abstractNum>
  <w:abstractNum w:abstractNumId="14" w15:restartNumberingAfterBreak="0">
    <w:nsid w:val="357E6D24"/>
    <w:multiLevelType w:val="hybridMultilevel"/>
    <w:tmpl w:val="8F426668"/>
    <w:lvl w:ilvl="0" w:tplc="2EAE4642">
      <w:start w:val="1"/>
      <w:numFmt w:val="decimal"/>
      <w:lvlText w:val="%1."/>
      <w:lvlJc w:val="left"/>
      <w:pPr>
        <w:ind w:left="720" w:hanging="360"/>
      </w:pPr>
    </w:lvl>
    <w:lvl w:ilvl="1" w:tplc="D016706A">
      <w:start w:val="1"/>
      <w:numFmt w:val="lowerLetter"/>
      <w:lvlText w:val="%2."/>
      <w:lvlJc w:val="left"/>
      <w:pPr>
        <w:ind w:left="1440" w:hanging="360"/>
      </w:pPr>
    </w:lvl>
    <w:lvl w:ilvl="2" w:tplc="F7F4E9CA">
      <w:start w:val="1"/>
      <w:numFmt w:val="lowerRoman"/>
      <w:lvlText w:val="%3."/>
      <w:lvlJc w:val="right"/>
      <w:pPr>
        <w:ind w:left="2160" w:hanging="180"/>
      </w:pPr>
    </w:lvl>
    <w:lvl w:ilvl="3" w:tplc="7610E3F4">
      <w:start w:val="1"/>
      <w:numFmt w:val="decimal"/>
      <w:lvlText w:val="%4."/>
      <w:lvlJc w:val="left"/>
      <w:pPr>
        <w:ind w:left="2880" w:hanging="360"/>
      </w:pPr>
    </w:lvl>
    <w:lvl w:ilvl="4" w:tplc="BE3C9CB2">
      <w:start w:val="1"/>
      <w:numFmt w:val="lowerLetter"/>
      <w:lvlText w:val="%5."/>
      <w:lvlJc w:val="left"/>
      <w:pPr>
        <w:ind w:left="3600" w:hanging="360"/>
      </w:pPr>
    </w:lvl>
    <w:lvl w:ilvl="5" w:tplc="E0EA335A">
      <w:start w:val="1"/>
      <w:numFmt w:val="lowerRoman"/>
      <w:lvlText w:val="%6."/>
      <w:lvlJc w:val="right"/>
      <w:pPr>
        <w:ind w:left="4320" w:hanging="180"/>
      </w:pPr>
    </w:lvl>
    <w:lvl w:ilvl="6" w:tplc="4C62AFF6">
      <w:start w:val="1"/>
      <w:numFmt w:val="decimal"/>
      <w:lvlText w:val="%7."/>
      <w:lvlJc w:val="left"/>
      <w:pPr>
        <w:ind w:left="5040" w:hanging="360"/>
      </w:pPr>
    </w:lvl>
    <w:lvl w:ilvl="7" w:tplc="274C0F3E">
      <w:start w:val="1"/>
      <w:numFmt w:val="lowerLetter"/>
      <w:lvlText w:val="%8."/>
      <w:lvlJc w:val="left"/>
      <w:pPr>
        <w:ind w:left="5760" w:hanging="360"/>
      </w:pPr>
    </w:lvl>
    <w:lvl w:ilvl="8" w:tplc="089A6D2A">
      <w:start w:val="1"/>
      <w:numFmt w:val="lowerRoman"/>
      <w:lvlText w:val="%9."/>
      <w:lvlJc w:val="right"/>
      <w:pPr>
        <w:ind w:left="6480" w:hanging="180"/>
      </w:pPr>
    </w:lvl>
  </w:abstractNum>
  <w:abstractNum w:abstractNumId="15" w15:restartNumberingAfterBreak="0">
    <w:nsid w:val="38E7399A"/>
    <w:multiLevelType w:val="hybridMultilevel"/>
    <w:tmpl w:val="16CA8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F16628"/>
    <w:multiLevelType w:val="hybridMultilevel"/>
    <w:tmpl w:val="893A01EC"/>
    <w:lvl w:ilvl="0" w:tplc="B49433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B1A6F"/>
    <w:multiLevelType w:val="hybridMultilevel"/>
    <w:tmpl w:val="814E0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08244A"/>
    <w:multiLevelType w:val="hybridMultilevel"/>
    <w:tmpl w:val="E716C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F183B"/>
    <w:multiLevelType w:val="hybridMultilevel"/>
    <w:tmpl w:val="82FC5CCC"/>
    <w:lvl w:ilvl="0" w:tplc="613CD9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043309"/>
    <w:multiLevelType w:val="hybridMultilevel"/>
    <w:tmpl w:val="AF7A7A98"/>
    <w:lvl w:ilvl="0" w:tplc="613CD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21225F"/>
    <w:multiLevelType w:val="hybridMultilevel"/>
    <w:tmpl w:val="A4C00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600E7A"/>
    <w:multiLevelType w:val="hybridMultilevel"/>
    <w:tmpl w:val="1E585CA4"/>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777" w:hanging="360"/>
      </w:pPr>
      <w:rPr>
        <w:rFonts w:ascii="Courier New" w:hAnsi="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A67A8C"/>
    <w:multiLevelType w:val="hybridMultilevel"/>
    <w:tmpl w:val="53A44A98"/>
    <w:lvl w:ilvl="0" w:tplc="056EBE8C">
      <w:start w:val="1"/>
      <w:numFmt w:val="bullet"/>
      <w:lvlText w:val=""/>
      <w:lvlJc w:val="left"/>
      <w:pPr>
        <w:ind w:left="720" w:hanging="360"/>
      </w:pPr>
      <w:rPr>
        <w:rFonts w:ascii="Symbol" w:hAnsi="Symbol" w:hint="default"/>
      </w:rPr>
    </w:lvl>
    <w:lvl w:ilvl="1" w:tplc="8340D126">
      <w:start w:val="1"/>
      <w:numFmt w:val="bullet"/>
      <w:lvlText w:val="o"/>
      <w:lvlJc w:val="left"/>
      <w:pPr>
        <w:ind w:left="1440" w:hanging="360"/>
      </w:pPr>
      <w:rPr>
        <w:rFonts w:ascii="Courier New" w:hAnsi="Courier New" w:cs="Times New Roman" w:hint="default"/>
      </w:rPr>
    </w:lvl>
    <w:lvl w:ilvl="2" w:tplc="5DEA589A">
      <w:start w:val="1"/>
      <w:numFmt w:val="bullet"/>
      <w:lvlText w:val=""/>
      <w:lvlJc w:val="left"/>
      <w:pPr>
        <w:ind w:left="2160" w:hanging="360"/>
      </w:pPr>
      <w:rPr>
        <w:rFonts w:ascii="Wingdings" w:hAnsi="Wingdings" w:hint="default"/>
      </w:rPr>
    </w:lvl>
    <w:lvl w:ilvl="3" w:tplc="8B188DCE">
      <w:start w:val="1"/>
      <w:numFmt w:val="bullet"/>
      <w:lvlText w:val=""/>
      <w:lvlJc w:val="left"/>
      <w:pPr>
        <w:ind w:left="2880" w:hanging="360"/>
      </w:pPr>
      <w:rPr>
        <w:rFonts w:ascii="Symbol" w:hAnsi="Symbol" w:hint="default"/>
      </w:rPr>
    </w:lvl>
    <w:lvl w:ilvl="4" w:tplc="7D4AF120">
      <w:start w:val="1"/>
      <w:numFmt w:val="bullet"/>
      <w:lvlText w:val="o"/>
      <w:lvlJc w:val="left"/>
      <w:pPr>
        <w:ind w:left="3600" w:hanging="360"/>
      </w:pPr>
      <w:rPr>
        <w:rFonts w:ascii="Courier New" w:hAnsi="Courier New" w:cs="Times New Roman" w:hint="default"/>
      </w:rPr>
    </w:lvl>
    <w:lvl w:ilvl="5" w:tplc="F084A164">
      <w:start w:val="1"/>
      <w:numFmt w:val="bullet"/>
      <w:lvlText w:val=""/>
      <w:lvlJc w:val="left"/>
      <w:pPr>
        <w:ind w:left="4320" w:hanging="360"/>
      </w:pPr>
      <w:rPr>
        <w:rFonts w:ascii="Wingdings" w:hAnsi="Wingdings" w:hint="default"/>
      </w:rPr>
    </w:lvl>
    <w:lvl w:ilvl="6" w:tplc="E7D430F4">
      <w:start w:val="1"/>
      <w:numFmt w:val="bullet"/>
      <w:lvlText w:val=""/>
      <w:lvlJc w:val="left"/>
      <w:pPr>
        <w:ind w:left="5040" w:hanging="360"/>
      </w:pPr>
      <w:rPr>
        <w:rFonts w:ascii="Symbol" w:hAnsi="Symbol" w:hint="default"/>
      </w:rPr>
    </w:lvl>
    <w:lvl w:ilvl="7" w:tplc="8116BF82">
      <w:start w:val="1"/>
      <w:numFmt w:val="bullet"/>
      <w:lvlText w:val="o"/>
      <w:lvlJc w:val="left"/>
      <w:pPr>
        <w:ind w:left="5760" w:hanging="360"/>
      </w:pPr>
      <w:rPr>
        <w:rFonts w:ascii="Courier New" w:hAnsi="Courier New" w:cs="Times New Roman" w:hint="default"/>
      </w:rPr>
    </w:lvl>
    <w:lvl w:ilvl="8" w:tplc="7D9E8E8E">
      <w:start w:val="1"/>
      <w:numFmt w:val="bullet"/>
      <w:lvlText w:val=""/>
      <w:lvlJc w:val="left"/>
      <w:pPr>
        <w:ind w:left="6480" w:hanging="360"/>
      </w:pPr>
      <w:rPr>
        <w:rFonts w:ascii="Wingdings" w:hAnsi="Wingdings" w:hint="default"/>
      </w:rPr>
    </w:lvl>
  </w:abstractNum>
  <w:abstractNum w:abstractNumId="24" w15:restartNumberingAfterBreak="0">
    <w:nsid w:val="5DD15B35"/>
    <w:multiLevelType w:val="hybridMultilevel"/>
    <w:tmpl w:val="B1801C0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25" w15:restartNumberingAfterBreak="0">
    <w:nsid w:val="5E6353A4"/>
    <w:multiLevelType w:val="hybridMultilevel"/>
    <w:tmpl w:val="07F6D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450953"/>
    <w:multiLevelType w:val="hybridMultilevel"/>
    <w:tmpl w:val="6DC6AD22"/>
    <w:lvl w:ilvl="0" w:tplc="C8A263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C0104A"/>
    <w:multiLevelType w:val="hybridMultilevel"/>
    <w:tmpl w:val="0DD4F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E97065"/>
    <w:multiLevelType w:val="hybridMultilevel"/>
    <w:tmpl w:val="613E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773B1C"/>
    <w:multiLevelType w:val="hybridMultilevel"/>
    <w:tmpl w:val="AC7C9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107B0"/>
    <w:multiLevelType w:val="hybridMultilevel"/>
    <w:tmpl w:val="3404F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292492"/>
    <w:multiLevelType w:val="hybridMultilevel"/>
    <w:tmpl w:val="7FCE8BF8"/>
    <w:lvl w:ilvl="0" w:tplc="55529C56">
      <w:start w:val="1"/>
      <w:numFmt w:val="bullet"/>
      <w:lvlText w:val=""/>
      <w:lvlJc w:val="left"/>
      <w:pPr>
        <w:ind w:left="720" w:hanging="360"/>
      </w:pPr>
      <w:rPr>
        <w:rFonts w:ascii="Symbol" w:hAnsi="Symbol" w:hint="default"/>
      </w:rPr>
    </w:lvl>
    <w:lvl w:ilvl="1" w:tplc="1040AD08">
      <w:start w:val="1"/>
      <w:numFmt w:val="bullet"/>
      <w:lvlText w:val="o"/>
      <w:lvlJc w:val="left"/>
      <w:pPr>
        <w:ind w:left="1440" w:hanging="360"/>
      </w:pPr>
      <w:rPr>
        <w:rFonts w:ascii="Courier New" w:hAnsi="Courier New" w:cs="Times New Roman" w:hint="default"/>
      </w:rPr>
    </w:lvl>
    <w:lvl w:ilvl="2" w:tplc="885A6DDC">
      <w:start w:val="1"/>
      <w:numFmt w:val="bullet"/>
      <w:lvlText w:val=""/>
      <w:lvlJc w:val="left"/>
      <w:pPr>
        <w:ind w:left="2160" w:hanging="360"/>
      </w:pPr>
      <w:rPr>
        <w:rFonts w:ascii="Wingdings" w:hAnsi="Wingdings" w:hint="default"/>
      </w:rPr>
    </w:lvl>
    <w:lvl w:ilvl="3" w:tplc="1DE6704A">
      <w:start w:val="1"/>
      <w:numFmt w:val="bullet"/>
      <w:lvlText w:val=""/>
      <w:lvlJc w:val="left"/>
      <w:pPr>
        <w:ind w:left="2880" w:hanging="360"/>
      </w:pPr>
      <w:rPr>
        <w:rFonts w:ascii="Symbol" w:hAnsi="Symbol" w:hint="default"/>
      </w:rPr>
    </w:lvl>
    <w:lvl w:ilvl="4" w:tplc="5CC2D47A">
      <w:start w:val="1"/>
      <w:numFmt w:val="bullet"/>
      <w:lvlText w:val="o"/>
      <w:lvlJc w:val="left"/>
      <w:pPr>
        <w:ind w:left="3600" w:hanging="360"/>
      </w:pPr>
      <w:rPr>
        <w:rFonts w:ascii="Courier New" w:hAnsi="Courier New" w:cs="Times New Roman" w:hint="default"/>
      </w:rPr>
    </w:lvl>
    <w:lvl w:ilvl="5" w:tplc="026EAEC0">
      <w:start w:val="1"/>
      <w:numFmt w:val="bullet"/>
      <w:lvlText w:val=""/>
      <w:lvlJc w:val="left"/>
      <w:pPr>
        <w:ind w:left="4320" w:hanging="360"/>
      </w:pPr>
      <w:rPr>
        <w:rFonts w:ascii="Wingdings" w:hAnsi="Wingdings" w:hint="default"/>
      </w:rPr>
    </w:lvl>
    <w:lvl w:ilvl="6" w:tplc="8C54D724">
      <w:start w:val="1"/>
      <w:numFmt w:val="bullet"/>
      <w:lvlText w:val=""/>
      <w:lvlJc w:val="left"/>
      <w:pPr>
        <w:ind w:left="5040" w:hanging="360"/>
      </w:pPr>
      <w:rPr>
        <w:rFonts w:ascii="Symbol" w:hAnsi="Symbol" w:hint="default"/>
      </w:rPr>
    </w:lvl>
    <w:lvl w:ilvl="7" w:tplc="0B480A7C">
      <w:start w:val="1"/>
      <w:numFmt w:val="bullet"/>
      <w:lvlText w:val="o"/>
      <w:lvlJc w:val="left"/>
      <w:pPr>
        <w:ind w:left="5760" w:hanging="360"/>
      </w:pPr>
      <w:rPr>
        <w:rFonts w:ascii="Courier New" w:hAnsi="Courier New" w:cs="Times New Roman" w:hint="default"/>
      </w:rPr>
    </w:lvl>
    <w:lvl w:ilvl="8" w:tplc="9112E624">
      <w:start w:val="1"/>
      <w:numFmt w:val="bullet"/>
      <w:lvlText w:val=""/>
      <w:lvlJc w:val="left"/>
      <w:pPr>
        <w:ind w:left="6480" w:hanging="360"/>
      </w:pPr>
      <w:rPr>
        <w:rFonts w:ascii="Wingdings" w:hAnsi="Wingdings" w:hint="default"/>
      </w:rPr>
    </w:lvl>
  </w:abstractNum>
  <w:abstractNum w:abstractNumId="32" w15:restartNumberingAfterBreak="0">
    <w:nsid w:val="7B2A4514"/>
    <w:multiLevelType w:val="hybridMultilevel"/>
    <w:tmpl w:val="A642B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4"/>
  </w:num>
  <w:num w:numId="4">
    <w:abstractNumId w:val="32"/>
  </w:num>
  <w:num w:numId="5">
    <w:abstractNumId w:val="10"/>
  </w:num>
  <w:num w:numId="6">
    <w:abstractNumId w:val="26"/>
  </w:num>
  <w:num w:numId="7">
    <w:abstractNumId w:val="20"/>
  </w:num>
  <w:num w:numId="8">
    <w:abstractNumId w:val="3"/>
  </w:num>
  <w:num w:numId="9">
    <w:abstractNumId w:val="25"/>
  </w:num>
  <w:num w:numId="10">
    <w:abstractNumId w:val="28"/>
  </w:num>
  <w:num w:numId="11">
    <w:abstractNumId w:val="7"/>
  </w:num>
  <w:num w:numId="12">
    <w:abstractNumId w:val="2"/>
  </w:num>
  <w:num w:numId="13">
    <w:abstractNumId w:val="29"/>
  </w:num>
  <w:num w:numId="14">
    <w:abstractNumId w:val="19"/>
  </w:num>
  <w:num w:numId="15">
    <w:abstractNumId w:val="22"/>
  </w:num>
  <w:num w:numId="16">
    <w:abstractNumId w:val="6"/>
  </w:num>
  <w:num w:numId="17">
    <w:abstractNumId w:val="21"/>
  </w:num>
  <w:num w:numId="18">
    <w:abstractNumId w:val="0"/>
  </w:num>
  <w:num w:numId="19">
    <w:abstractNumId w:val="24"/>
  </w:num>
  <w:num w:numId="20">
    <w:abstractNumId w:val="1"/>
  </w:num>
  <w:num w:numId="21">
    <w:abstractNumId w:val="30"/>
  </w:num>
  <w:num w:numId="22">
    <w:abstractNumId w:val="11"/>
  </w:num>
  <w:num w:numId="23">
    <w:abstractNumId w:val="18"/>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1"/>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5"/>
  </w:num>
  <w:num w:numId="31">
    <w:abstractNumId w:val="15"/>
  </w:num>
  <w:num w:numId="32">
    <w:abstractNumId w:val="17"/>
  </w:num>
  <w:num w:numId="33">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158"/>
    <w:rsid w:val="00001014"/>
    <w:rsid w:val="000034C1"/>
    <w:rsid w:val="00010154"/>
    <w:rsid w:val="00011D71"/>
    <w:rsid w:val="0001289B"/>
    <w:rsid w:val="00012BFE"/>
    <w:rsid w:val="0001519E"/>
    <w:rsid w:val="000158F8"/>
    <w:rsid w:val="00022B17"/>
    <w:rsid w:val="00025716"/>
    <w:rsid w:val="00033951"/>
    <w:rsid w:val="00036301"/>
    <w:rsid w:val="000418ED"/>
    <w:rsid w:val="00041A65"/>
    <w:rsid w:val="00050997"/>
    <w:rsid w:val="00056FDA"/>
    <w:rsid w:val="00061E8A"/>
    <w:rsid w:val="00062C1C"/>
    <w:rsid w:val="0006684F"/>
    <w:rsid w:val="00067196"/>
    <w:rsid w:val="000673F8"/>
    <w:rsid w:val="00080CB7"/>
    <w:rsid w:val="00082011"/>
    <w:rsid w:val="00087B42"/>
    <w:rsid w:val="0009006D"/>
    <w:rsid w:val="00096075"/>
    <w:rsid w:val="000A1FD1"/>
    <w:rsid w:val="000A5B51"/>
    <w:rsid w:val="000A7EA9"/>
    <w:rsid w:val="000B161C"/>
    <w:rsid w:val="000B47A3"/>
    <w:rsid w:val="000B4EAA"/>
    <w:rsid w:val="000C681F"/>
    <w:rsid w:val="000C7076"/>
    <w:rsid w:val="000D18AF"/>
    <w:rsid w:val="000D3CB3"/>
    <w:rsid w:val="000D459D"/>
    <w:rsid w:val="000D677B"/>
    <w:rsid w:val="000D7537"/>
    <w:rsid w:val="000E2813"/>
    <w:rsid w:val="000E73B2"/>
    <w:rsid w:val="000F0513"/>
    <w:rsid w:val="000F1BD0"/>
    <w:rsid w:val="000F1D4C"/>
    <w:rsid w:val="000F4B67"/>
    <w:rsid w:val="000F7693"/>
    <w:rsid w:val="00102D37"/>
    <w:rsid w:val="00106158"/>
    <w:rsid w:val="001116BE"/>
    <w:rsid w:val="00113195"/>
    <w:rsid w:val="00114737"/>
    <w:rsid w:val="00122DF5"/>
    <w:rsid w:val="00132128"/>
    <w:rsid w:val="00133B17"/>
    <w:rsid w:val="00135FBE"/>
    <w:rsid w:val="00141530"/>
    <w:rsid w:val="0014219F"/>
    <w:rsid w:val="001505EA"/>
    <w:rsid w:val="0016174F"/>
    <w:rsid w:val="00164D0C"/>
    <w:rsid w:val="001671A4"/>
    <w:rsid w:val="00170122"/>
    <w:rsid w:val="001711FB"/>
    <w:rsid w:val="00173975"/>
    <w:rsid w:val="00175636"/>
    <w:rsid w:val="001814A6"/>
    <w:rsid w:val="001815CE"/>
    <w:rsid w:val="00184224"/>
    <w:rsid w:val="00190D2B"/>
    <w:rsid w:val="00192A64"/>
    <w:rsid w:val="001937B0"/>
    <w:rsid w:val="001A3DCB"/>
    <w:rsid w:val="001A608C"/>
    <w:rsid w:val="001A79B2"/>
    <w:rsid w:val="001B0597"/>
    <w:rsid w:val="001B5494"/>
    <w:rsid w:val="001C03BE"/>
    <w:rsid w:val="001C17D1"/>
    <w:rsid w:val="001C3B6E"/>
    <w:rsid w:val="001C4EDD"/>
    <w:rsid w:val="001C638F"/>
    <w:rsid w:val="001C64EF"/>
    <w:rsid w:val="001D055B"/>
    <w:rsid w:val="001D5415"/>
    <w:rsid w:val="001D6E3D"/>
    <w:rsid w:val="001D718C"/>
    <w:rsid w:val="001E0905"/>
    <w:rsid w:val="001E18E4"/>
    <w:rsid w:val="001E23A7"/>
    <w:rsid w:val="001E752F"/>
    <w:rsid w:val="001E7FF2"/>
    <w:rsid w:val="001F4C71"/>
    <w:rsid w:val="001F7E3F"/>
    <w:rsid w:val="00202BB4"/>
    <w:rsid w:val="00206B18"/>
    <w:rsid w:val="002107D4"/>
    <w:rsid w:val="00211DB4"/>
    <w:rsid w:val="00215ABA"/>
    <w:rsid w:val="00216061"/>
    <w:rsid w:val="002218C1"/>
    <w:rsid w:val="00222748"/>
    <w:rsid w:val="00223E3E"/>
    <w:rsid w:val="00224356"/>
    <w:rsid w:val="00224850"/>
    <w:rsid w:val="002346AD"/>
    <w:rsid w:val="002414C2"/>
    <w:rsid w:val="00244BE9"/>
    <w:rsid w:val="00247847"/>
    <w:rsid w:val="00255719"/>
    <w:rsid w:val="0025671B"/>
    <w:rsid w:val="00260D50"/>
    <w:rsid w:val="002634B4"/>
    <w:rsid w:val="00270B9F"/>
    <w:rsid w:val="00273121"/>
    <w:rsid w:val="00274D92"/>
    <w:rsid w:val="00285546"/>
    <w:rsid w:val="00285EB5"/>
    <w:rsid w:val="002862AA"/>
    <w:rsid w:val="00286734"/>
    <w:rsid w:val="0028785D"/>
    <w:rsid w:val="00287AE1"/>
    <w:rsid w:val="00292F07"/>
    <w:rsid w:val="002950E2"/>
    <w:rsid w:val="002A1919"/>
    <w:rsid w:val="002A1AEF"/>
    <w:rsid w:val="002A3296"/>
    <w:rsid w:val="002A41B2"/>
    <w:rsid w:val="002A49A2"/>
    <w:rsid w:val="002A5D17"/>
    <w:rsid w:val="002A60C7"/>
    <w:rsid w:val="002B00A0"/>
    <w:rsid w:val="002B0D60"/>
    <w:rsid w:val="002B6750"/>
    <w:rsid w:val="002C008E"/>
    <w:rsid w:val="002C16E2"/>
    <w:rsid w:val="002C237F"/>
    <w:rsid w:val="002C321F"/>
    <w:rsid w:val="002C5F59"/>
    <w:rsid w:val="002C6D9D"/>
    <w:rsid w:val="002D0302"/>
    <w:rsid w:val="002D1D87"/>
    <w:rsid w:val="002E38A0"/>
    <w:rsid w:val="002E423E"/>
    <w:rsid w:val="002E7D91"/>
    <w:rsid w:val="002F056D"/>
    <w:rsid w:val="002F0B5E"/>
    <w:rsid w:val="002F0F3E"/>
    <w:rsid w:val="002F651F"/>
    <w:rsid w:val="003003DC"/>
    <w:rsid w:val="00303371"/>
    <w:rsid w:val="003040F4"/>
    <w:rsid w:val="00307D01"/>
    <w:rsid w:val="00321B19"/>
    <w:rsid w:val="00324300"/>
    <w:rsid w:val="00324F1B"/>
    <w:rsid w:val="00332DAC"/>
    <w:rsid w:val="00335FBF"/>
    <w:rsid w:val="00337728"/>
    <w:rsid w:val="00340288"/>
    <w:rsid w:val="00342D7E"/>
    <w:rsid w:val="0034437D"/>
    <w:rsid w:val="0034666C"/>
    <w:rsid w:val="00350F5F"/>
    <w:rsid w:val="00355834"/>
    <w:rsid w:val="003723E1"/>
    <w:rsid w:val="00372DEB"/>
    <w:rsid w:val="0037509F"/>
    <w:rsid w:val="003800E2"/>
    <w:rsid w:val="003806EF"/>
    <w:rsid w:val="00380DD2"/>
    <w:rsid w:val="003814DE"/>
    <w:rsid w:val="0038181B"/>
    <w:rsid w:val="00382596"/>
    <w:rsid w:val="00382667"/>
    <w:rsid w:val="00383CEC"/>
    <w:rsid w:val="003935B8"/>
    <w:rsid w:val="00393660"/>
    <w:rsid w:val="003938B5"/>
    <w:rsid w:val="0039782D"/>
    <w:rsid w:val="003A19AB"/>
    <w:rsid w:val="003A5AA5"/>
    <w:rsid w:val="003B2AF3"/>
    <w:rsid w:val="003B6381"/>
    <w:rsid w:val="003B7079"/>
    <w:rsid w:val="003C094B"/>
    <w:rsid w:val="003C77EC"/>
    <w:rsid w:val="003D5295"/>
    <w:rsid w:val="003D5400"/>
    <w:rsid w:val="003D72FC"/>
    <w:rsid w:val="003E1CED"/>
    <w:rsid w:val="003E6625"/>
    <w:rsid w:val="003F2478"/>
    <w:rsid w:val="003F2F47"/>
    <w:rsid w:val="003F5E97"/>
    <w:rsid w:val="003F7362"/>
    <w:rsid w:val="00400276"/>
    <w:rsid w:val="0040071B"/>
    <w:rsid w:val="0040124B"/>
    <w:rsid w:val="0040225F"/>
    <w:rsid w:val="004123F5"/>
    <w:rsid w:val="00414ADA"/>
    <w:rsid w:val="004259DB"/>
    <w:rsid w:val="00426D43"/>
    <w:rsid w:val="00431084"/>
    <w:rsid w:val="004332F4"/>
    <w:rsid w:val="00435EEA"/>
    <w:rsid w:val="0043631D"/>
    <w:rsid w:val="00445040"/>
    <w:rsid w:val="00445746"/>
    <w:rsid w:val="00446BF3"/>
    <w:rsid w:val="004509C3"/>
    <w:rsid w:val="00471001"/>
    <w:rsid w:val="004720ED"/>
    <w:rsid w:val="00472E55"/>
    <w:rsid w:val="00477380"/>
    <w:rsid w:val="00482F57"/>
    <w:rsid w:val="004879D9"/>
    <w:rsid w:val="00490550"/>
    <w:rsid w:val="004A0BC5"/>
    <w:rsid w:val="004A2E4B"/>
    <w:rsid w:val="004A6FEF"/>
    <w:rsid w:val="004B06EC"/>
    <w:rsid w:val="004B371A"/>
    <w:rsid w:val="004C0F5D"/>
    <w:rsid w:val="004C2B22"/>
    <w:rsid w:val="004C740D"/>
    <w:rsid w:val="004D291C"/>
    <w:rsid w:val="004D3424"/>
    <w:rsid w:val="004D3EB2"/>
    <w:rsid w:val="004D406B"/>
    <w:rsid w:val="004D47FF"/>
    <w:rsid w:val="004D69A2"/>
    <w:rsid w:val="004E08CB"/>
    <w:rsid w:val="004E1B6E"/>
    <w:rsid w:val="004F0211"/>
    <w:rsid w:val="004F5C2E"/>
    <w:rsid w:val="005007E0"/>
    <w:rsid w:val="0050222D"/>
    <w:rsid w:val="005047C0"/>
    <w:rsid w:val="0050525A"/>
    <w:rsid w:val="00505DDE"/>
    <w:rsid w:val="0050718B"/>
    <w:rsid w:val="00516DF4"/>
    <w:rsid w:val="005178D8"/>
    <w:rsid w:val="00523A5E"/>
    <w:rsid w:val="00523CAA"/>
    <w:rsid w:val="0052690D"/>
    <w:rsid w:val="00527DB5"/>
    <w:rsid w:val="00532059"/>
    <w:rsid w:val="00532461"/>
    <w:rsid w:val="00543561"/>
    <w:rsid w:val="00543F93"/>
    <w:rsid w:val="00546C3A"/>
    <w:rsid w:val="00551731"/>
    <w:rsid w:val="00551C0B"/>
    <w:rsid w:val="00554EAC"/>
    <w:rsid w:val="00561F4A"/>
    <w:rsid w:val="00582ED7"/>
    <w:rsid w:val="005865BF"/>
    <w:rsid w:val="0059003F"/>
    <w:rsid w:val="0059094F"/>
    <w:rsid w:val="005946FD"/>
    <w:rsid w:val="00595E99"/>
    <w:rsid w:val="0059724D"/>
    <w:rsid w:val="005A05CD"/>
    <w:rsid w:val="005A2FE4"/>
    <w:rsid w:val="005A3BCA"/>
    <w:rsid w:val="005B34CE"/>
    <w:rsid w:val="005B55AF"/>
    <w:rsid w:val="005B7F3A"/>
    <w:rsid w:val="005D6B37"/>
    <w:rsid w:val="005D7227"/>
    <w:rsid w:val="005E04B4"/>
    <w:rsid w:val="005E09B2"/>
    <w:rsid w:val="005E195A"/>
    <w:rsid w:val="005E31CF"/>
    <w:rsid w:val="005E63D3"/>
    <w:rsid w:val="005E67DB"/>
    <w:rsid w:val="005F33BA"/>
    <w:rsid w:val="005F74BA"/>
    <w:rsid w:val="006071F7"/>
    <w:rsid w:val="00611F56"/>
    <w:rsid w:val="00621488"/>
    <w:rsid w:val="00621E3F"/>
    <w:rsid w:val="00624B6F"/>
    <w:rsid w:val="00625624"/>
    <w:rsid w:val="00626408"/>
    <w:rsid w:val="00626A1F"/>
    <w:rsid w:val="006328B5"/>
    <w:rsid w:val="00633B3F"/>
    <w:rsid w:val="00636382"/>
    <w:rsid w:val="00637199"/>
    <w:rsid w:val="00640ACE"/>
    <w:rsid w:val="0064119E"/>
    <w:rsid w:val="00641236"/>
    <w:rsid w:val="00641380"/>
    <w:rsid w:val="00646F54"/>
    <w:rsid w:val="006516CC"/>
    <w:rsid w:val="00651C60"/>
    <w:rsid w:val="006526F4"/>
    <w:rsid w:val="00652EB7"/>
    <w:rsid w:val="00657C4E"/>
    <w:rsid w:val="0067419C"/>
    <w:rsid w:val="0067554B"/>
    <w:rsid w:val="00680B1B"/>
    <w:rsid w:val="0068446F"/>
    <w:rsid w:val="00687737"/>
    <w:rsid w:val="00687C6D"/>
    <w:rsid w:val="006926BE"/>
    <w:rsid w:val="00695C0F"/>
    <w:rsid w:val="006A0B0D"/>
    <w:rsid w:val="006A3B2D"/>
    <w:rsid w:val="006A6A2D"/>
    <w:rsid w:val="006B04E3"/>
    <w:rsid w:val="006B3F8D"/>
    <w:rsid w:val="006B74FC"/>
    <w:rsid w:val="006C234A"/>
    <w:rsid w:val="006C7239"/>
    <w:rsid w:val="006D2EEA"/>
    <w:rsid w:val="006D341B"/>
    <w:rsid w:val="006E1179"/>
    <w:rsid w:val="006E1F48"/>
    <w:rsid w:val="006E4032"/>
    <w:rsid w:val="006E71BC"/>
    <w:rsid w:val="006F3929"/>
    <w:rsid w:val="00701291"/>
    <w:rsid w:val="00705291"/>
    <w:rsid w:val="00705B23"/>
    <w:rsid w:val="007076E7"/>
    <w:rsid w:val="00715B06"/>
    <w:rsid w:val="007170A6"/>
    <w:rsid w:val="00720817"/>
    <w:rsid w:val="007236C3"/>
    <w:rsid w:val="00726FCA"/>
    <w:rsid w:val="007331EE"/>
    <w:rsid w:val="00744B91"/>
    <w:rsid w:val="00745B7E"/>
    <w:rsid w:val="00746ECB"/>
    <w:rsid w:val="00747885"/>
    <w:rsid w:val="00756BB3"/>
    <w:rsid w:val="00756E98"/>
    <w:rsid w:val="0076300F"/>
    <w:rsid w:val="00763AB5"/>
    <w:rsid w:val="007647D9"/>
    <w:rsid w:val="007660A7"/>
    <w:rsid w:val="0076748A"/>
    <w:rsid w:val="00770AC4"/>
    <w:rsid w:val="0079181C"/>
    <w:rsid w:val="00792D15"/>
    <w:rsid w:val="00795BD7"/>
    <w:rsid w:val="007A01AE"/>
    <w:rsid w:val="007A2463"/>
    <w:rsid w:val="007A3717"/>
    <w:rsid w:val="007B2120"/>
    <w:rsid w:val="007B29E1"/>
    <w:rsid w:val="007B3380"/>
    <w:rsid w:val="007B483E"/>
    <w:rsid w:val="007C5C9C"/>
    <w:rsid w:val="007E215C"/>
    <w:rsid w:val="007E21CD"/>
    <w:rsid w:val="007E7FAD"/>
    <w:rsid w:val="00805B7F"/>
    <w:rsid w:val="008079FE"/>
    <w:rsid w:val="008114E3"/>
    <w:rsid w:val="0082194F"/>
    <w:rsid w:val="00834373"/>
    <w:rsid w:val="00835CF0"/>
    <w:rsid w:val="00836307"/>
    <w:rsid w:val="00836822"/>
    <w:rsid w:val="00836B9F"/>
    <w:rsid w:val="00840131"/>
    <w:rsid w:val="0084593E"/>
    <w:rsid w:val="0085165F"/>
    <w:rsid w:val="0086095D"/>
    <w:rsid w:val="00861788"/>
    <w:rsid w:val="00866D81"/>
    <w:rsid w:val="00870BF1"/>
    <w:rsid w:val="0087725E"/>
    <w:rsid w:val="00880A76"/>
    <w:rsid w:val="008828EB"/>
    <w:rsid w:val="008848F7"/>
    <w:rsid w:val="008978D3"/>
    <w:rsid w:val="008A4FDE"/>
    <w:rsid w:val="008A52AB"/>
    <w:rsid w:val="008B33A8"/>
    <w:rsid w:val="008B3D3E"/>
    <w:rsid w:val="008B52AE"/>
    <w:rsid w:val="008B7D8E"/>
    <w:rsid w:val="008C132E"/>
    <w:rsid w:val="008C2E4B"/>
    <w:rsid w:val="008D0D80"/>
    <w:rsid w:val="008D3998"/>
    <w:rsid w:val="008D46B8"/>
    <w:rsid w:val="008D7384"/>
    <w:rsid w:val="008E0417"/>
    <w:rsid w:val="008E7343"/>
    <w:rsid w:val="008F1001"/>
    <w:rsid w:val="008F16D5"/>
    <w:rsid w:val="008F39F2"/>
    <w:rsid w:val="00900699"/>
    <w:rsid w:val="00903262"/>
    <w:rsid w:val="00903368"/>
    <w:rsid w:val="00905C7E"/>
    <w:rsid w:val="009063A8"/>
    <w:rsid w:val="0090749B"/>
    <w:rsid w:val="00911016"/>
    <w:rsid w:val="00912DDE"/>
    <w:rsid w:val="00913A3E"/>
    <w:rsid w:val="009142EB"/>
    <w:rsid w:val="00920741"/>
    <w:rsid w:val="0092263E"/>
    <w:rsid w:val="00926FC2"/>
    <w:rsid w:val="00932773"/>
    <w:rsid w:val="00934212"/>
    <w:rsid w:val="00937122"/>
    <w:rsid w:val="009414BA"/>
    <w:rsid w:val="009417EF"/>
    <w:rsid w:val="00942936"/>
    <w:rsid w:val="0094504A"/>
    <w:rsid w:val="009578F1"/>
    <w:rsid w:val="009635F7"/>
    <w:rsid w:val="00966052"/>
    <w:rsid w:val="00966973"/>
    <w:rsid w:val="009779B4"/>
    <w:rsid w:val="00981CD9"/>
    <w:rsid w:val="00985B6B"/>
    <w:rsid w:val="00992A75"/>
    <w:rsid w:val="0099365F"/>
    <w:rsid w:val="009A5E0F"/>
    <w:rsid w:val="009A64CA"/>
    <w:rsid w:val="009A66E3"/>
    <w:rsid w:val="009B3B33"/>
    <w:rsid w:val="009C1D0A"/>
    <w:rsid w:val="009C3255"/>
    <w:rsid w:val="009C58C7"/>
    <w:rsid w:val="009C7903"/>
    <w:rsid w:val="009D2CCC"/>
    <w:rsid w:val="009D4FCA"/>
    <w:rsid w:val="009D7A23"/>
    <w:rsid w:val="009E25F8"/>
    <w:rsid w:val="009E34E8"/>
    <w:rsid w:val="009E4483"/>
    <w:rsid w:val="009E5D5A"/>
    <w:rsid w:val="009E62ED"/>
    <w:rsid w:val="009F1D87"/>
    <w:rsid w:val="009F2EA0"/>
    <w:rsid w:val="009F498C"/>
    <w:rsid w:val="009F5304"/>
    <w:rsid w:val="009F586F"/>
    <w:rsid w:val="009F60BB"/>
    <w:rsid w:val="00A022D9"/>
    <w:rsid w:val="00A070B7"/>
    <w:rsid w:val="00A128B6"/>
    <w:rsid w:val="00A16F4E"/>
    <w:rsid w:val="00A21626"/>
    <w:rsid w:val="00A241A2"/>
    <w:rsid w:val="00A25D2F"/>
    <w:rsid w:val="00A26CC0"/>
    <w:rsid w:val="00A340A7"/>
    <w:rsid w:val="00A347E7"/>
    <w:rsid w:val="00A35059"/>
    <w:rsid w:val="00A42F74"/>
    <w:rsid w:val="00A455D1"/>
    <w:rsid w:val="00A4583A"/>
    <w:rsid w:val="00A52FE0"/>
    <w:rsid w:val="00A5481F"/>
    <w:rsid w:val="00A54BD9"/>
    <w:rsid w:val="00A560FA"/>
    <w:rsid w:val="00A568A6"/>
    <w:rsid w:val="00A605BB"/>
    <w:rsid w:val="00A62166"/>
    <w:rsid w:val="00A63FD5"/>
    <w:rsid w:val="00A64477"/>
    <w:rsid w:val="00A700FC"/>
    <w:rsid w:val="00A702F0"/>
    <w:rsid w:val="00A72DED"/>
    <w:rsid w:val="00A763EC"/>
    <w:rsid w:val="00A827B8"/>
    <w:rsid w:val="00A8347B"/>
    <w:rsid w:val="00A8443E"/>
    <w:rsid w:val="00A86B41"/>
    <w:rsid w:val="00A87968"/>
    <w:rsid w:val="00A92485"/>
    <w:rsid w:val="00A92FB4"/>
    <w:rsid w:val="00AA0CFB"/>
    <w:rsid w:val="00AA784E"/>
    <w:rsid w:val="00AA7FBE"/>
    <w:rsid w:val="00AB17AC"/>
    <w:rsid w:val="00AB4F5E"/>
    <w:rsid w:val="00AC2134"/>
    <w:rsid w:val="00AC2BBB"/>
    <w:rsid w:val="00AC41F4"/>
    <w:rsid w:val="00AC5113"/>
    <w:rsid w:val="00AD32AE"/>
    <w:rsid w:val="00AD503E"/>
    <w:rsid w:val="00AD6080"/>
    <w:rsid w:val="00AD63CB"/>
    <w:rsid w:val="00AE0E1B"/>
    <w:rsid w:val="00AE1389"/>
    <w:rsid w:val="00AE465D"/>
    <w:rsid w:val="00AE6D29"/>
    <w:rsid w:val="00AF0686"/>
    <w:rsid w:val="00AF2A11"/>
    <w:rsid w:val="00AF7C13"/>
    <w:rsid w:val="00B01CAA"/>
    <w:rsid w:val="00B02543"/>
    <w:rsid w:val="00B0524B"/>
    <w:rsid w:val="00B062B6"/>
    <w:rsid w:val="00B110B2"/>
    <w:rsid w:val="00B14C29"/>
    <w:rsid w:val="00B15FFC"/>
    <w:rsid w:val="00B1757D"/>
    <w:rsid w:val="00B21BE3"/>
    <w:rsid w:val="00B277EE"/>
    <w:rsid w:val="00B32159"/>
    <w:rsid w:val="00B3721D"/>
    <w:rsid w:val="00B37F94"/>
    <w:rsid w:val="00B44173"/>
    <w:rsid w:val="00B47B47"/>
    <w:rsid w:val="00B533B5"/>
    <w:rsid w:val="00B5756E"/>
    <w:rsid w:val="00B610F1"/>
    <w:rsid w:val="00B61F28"/>
    <w:rsid w:val="00B642A7"/>
    <w:rsid w:val="00B6598B"/>
    <w:rsid w:val="00B67370"/>
    <w:rsid w:val="00B72726"/>
    <w:rsid w:val="00B74790"/>
    <w:rsid w:val="00B75805"/>
    <w:rsid w:val="00B76F99"/>
    <w:rsid w:val="00B774F8"/>
    <w:rsid w:val="00B804C4"/>
    <w:rsid w:val="00B80644"/>
    <w:rsid w:val="00B828DA"/>
    <w:rsid w:val="00B91D90"/>
    <w:rsid w:val="00B91E6E"/>
    <w:rsid w:val="00B944F2"/>
    <w:rsid w:val="00B94A43"/>
    <w:rsid w:val="00BA5E0A"/>
    <w:rsid w:val="00BA5F3F"/>
    <w:rsid w:val="00BB2951"/>
    <w:rsid w:val="00BB45F8"/>
    <w:rsid w:val="00BB5487"/>
    <w:rsid w:val="00BC0A5B"/>
    <w:rsid w:val="00BC2258"/>
    <w:rsid w:val="00BC32A6"/>
    <w:rsid w:val="00BC34B7"/>
    <w:rsid w:val="00BC4444"/>
    <w:rsid w:val="00BC4A2A"/>
    <w:rsid w:val="00BD4F05"/>
    <w:rsid w:val="00BD5800"/>
    <w:rsid w:val="00BD7869"/>
    <w:rsid w:val="00BE1135"/>
    <w:rsid w:val="00BE2A9E"/>
    <w:rsid w:val="00BE53A9"/>
    <w:rsid w:val="00BE7772"/>
    <w:rsid w:val="00BF4649"/>
    <w:rsid w:val="00C019C6"/>
    <w:rsid w:val="00C0212E"/>
    <w:rsid w:val="00C04C2E"/>
    <w:rsid w:val="00C05D6A"/>
    <w:rsid w:val="00C11925"/>
    <w:rsid w:val="00C2164C"/>
    <w:rsid w:val="00C35929"/>
    <w:rsid w:val="00C37500"/>
    <w:rsid w:val="00C377E1"/>
    <w:rsid w:val="00C465B7"/>
    <w:rsid w:val="00C4710F"/>
    <w:rsid w:val="00C536E9"/>
    <w:rsid w:val="00C60B90"/>
    <w:rsid w:val="00C62304"/>
    <w:rsid w:val="00C62C6A"/>
    <w:rsid w:val="00C64218"/>
    <w:rsid w:val="00C64C13"/>
    <w:rsid w:val="00C66E52"/>
    <w:rsid w:val="00C67218"/>
    <w:rsid w:val="00C72CEA"/>
    <w:rsid w:val="00C80FE9"/>
    <w:rsid w:val="00C8121F"/>
    <w:rsid w:val="00C8679F"/>
    <w:rsid w:val="00C87A95"/>
    <w:rsid w:val="00C91FDE"/>
    <w:rsid w:val="00C930E7"/>
    <w:rsid w:val="00CA02A9"/>
    <w:rsid w:val="00CA683F"/>
    <w:rsid w:val="00CA7ED8"/>
    <w:rsid w:val="00CB7B7D"/>
    <w:rsid w:val="00CC2454"/>
    <w:rsid w:val="00CC2DC5"/>
    <w:rsid w:val="00CC3762"/>
    <w:rsid w:val="00CC4A06"/>
    <w:rsid w:val="00CD5E03"/>
    <w:rsid w:val="00CD6D7E"/>
    <w:rsid w:val="00CE1BA0"/>
    <w:rsid w:val="00CE24DE"/>
    <w:rsid w:val="00CF1E80"/>
    <w:rsid w:val="00CF510E"/>
    <w:rsid w:val="00CF5A8D"/>
    <w:rsid w:val="00CF5A97"/>
    <w:rsid w:val="00CF65CF"/>
    <w:rsid w:val="00D04051"/>
    <w:rsid w:val="00D04DF9"/>
    <w:rsid w:val="00D07C63"/>
    <w:rsid w:val="00D11B9B"/>
    <w:rsid w:val="00D14E40"/>
    <w:rsid w:val="00D22E82"/>
    <w:rsid w:val="00D246AE"/>
    <w:rsid w:val="00D24B2A"/>
    <w:rsid w:val="00D2746E"/>
    <w:rsid w:val="00D27B8B"/>
    <w:rsid w:val="00D352C7"/>
    <w:rsid w:val="00D405B4"/>
    <w:rsid w:val="00D42C01"/>
    <w:rsid w:val="00D51B8A"/>
    <w:rsid w:val="00D520FB"/>
    <w:rsid w:val="00D549C9"/>
    <w:rsid w:val="00D56AEB"/>
    <w:rsid w:val="00D60C66"/>
    <w:rsid w:val="00D6480D"/>
    <w:rsid w:val="00D65F9A"/>
    <w:rsid w:val="00D67652"/>
    <w:rsid w:val="00D705E1"/>
    <w:rsid w:val="00D70AED"/>
    <w:rsid w:val="00D72E6A"/>
    <w:rsid w:val="00D740D5"/>
    <w:rsid w:val="00D8049C"/>
    <w:rsid w:val="00D8182F"/>
    <w:rsid w:val="00D827A3"/>
    <w:rsid w:val="00D900C5"/>
    <w:rsid w:val="00D91701"/>
    <w:rsid w:val="00D918E0"/>
    <w:rsid w:val="00D93164"/>
    <w:rsid w:val="00D93679"/>
    <w:rsid w:val="00D978E0"/>
    <w:rsid w:val="00D97D4E"/>
    <w:rsid w:val="00DA047D"/>
    <w:rsid w:val="00DA085C"/>
    <w:rsid w:val="00DA2906"/>
    <w:rsid w:val="00DB2A4A"/>
    <w:rsid w:val="00DB3C1F"/>
    <w:rsid w:val="00DC01A2"/>
    <w:rsid w:val="00DC05FA"/>
    <w:rsid w:val="00DC0DD1"/>
    <w:rsid w:val="00DC18BF"/>
    <w:rsid w:val="00DC1D71"/>
    <w:rsid w:val="00DC2876"/>
    <w:rsid w:val="00DC2F8D"/>
    <w:rsid w:val="00DC63BE"/>
    <w:rsid w:val="00DC667C"/>
    <w:rsid w:val="00DC76C2"/>
    <w:rsid w:val="00DD31F0"/>
    <w:rsid w:val="00DD3D29"/>
    <w:rsid w:val="00DD4DB8"/>
    <w:rsid w:val="00DD723C"/>
    <w:rsid w:val="00DE6FBD"/>
    <w:rsid w:val="00DF1AFE"/>
    <w:rsid w:val="00E0743E"/>
    <w:rsid w:val="00E07745"/>
    <w:rsid w:val="00E07F4B"/>
    <w:rsid w:val="00E1493A"/>
    <w:rsid w:val="00E16923"/>
    <w:rsid w:val="00E2064B"/>
    <w:rsid w:val="00E210F8"/>
    <w:rsid w:val="00E24017"/>
    <w:rsid w:val="00E25FA3"/>
    <w:rsid w:val="00E31158"/>
    <w:rsid w:val="00E32C29"/>
    <w:rsid w:val="00E35BC4"/>
    <w:rsid w:val="00E37EEB"/>
    <w:rsid w:val="00E401DF"/>
    <w:rsid w:val="00E42D48"/>
    <w:rsid w:val="00E4349C"/>
    <w:rsid w:val="00E43A5A"/>
    <w:rsid w:val="00E55321"/>
    <w:rsid w:val="00E61E45"/>
    <w:rsid w:val="00E63CB5"/>
    <w:rsid w:val="00E640BA"/>
    <w:rsid w:val="00E649EA"/>
    <w:rsid w:val="00E70F9B"/>
    <w:rsid w:val="00E7364D"/>
    <w:rsid w:val="00E7638E"/>
    <w:rsid w:val="00E7654C"/>
    <w:rsid w:val="00E8107A"/>
    <w:rsid w:val="00E841CB"/>
    <w:rsid w:val="00E84889"/>
    <w:rsid w:val="00E877FD"/>
    <w:rsid w:val="00E91A21"/>
    <w:rsid w:val="00E91ADF"/>
    <w:rsid w:val="00E928AF"/>
    <w:rsid w:val="00E93E7A"/>
    <w:rsid w:val="00E9634C"/>
    <w:rsid w:val="00EA199A"/>
    <w:rsid w:val="00EA2818"/>
    <w:rsid w:val="00EA39E3"/>
    <w:rsid w:val="00EB3AC1"/>
    <w:rsid w:val="00EC0053"/>
    <w:rsid w:val="00EC7153"/>
    <w:rsid w:val="00EF09DB"/>
    <w:rsid w:val="00EF2887"/>
    <w:rsid w:val="00F02EAA"/>
    <w:rsid w:val="00F054DA"/>
    <w:rsid w:val="00F06260"/>
    <w:rsid w:val="00F06321"/>
    <w:rsid w:val="00F12014"/>
    <w:rsid w:val="00F13C77"/>
    <w:rsid w:val="00F14B75"/>
    <w:rsid w:val="00F161F4"/>
    <w:rsid w:val="00F16F23"/>
    <w:rsid w:val="00F20F8F"/>
    <w:rsid w:val="00F228EA"/>
    <w:rsid w:val="00F2375B"/>
    <w:rsid w:val="00F2689B"/>
    <w:rsid w:val="00F302D4"/>
    <w:rsid w:val="00F3059B"/>
    <w:rsid w:val="00F32AC3"/>
    <w:rsid w:val="00F37F62"/>
    <w:rsid w:val="00F60E57"/>
    <w:rsid w:val="00F64AAB"/>
    <w:rsid w:val="00F67BC5"/>
    <w:rsid w:val="00F70BF3"/>
    <w:rsid w:val="00F7176C"/>
    <w:rsid w:val="00F7185B"/>
    <w:rsid w:val="00F75189"/>
    <w:rsid w:val="00F77132"/>
    <w:rsid w:val="00F80611"/>
    <w:rsid w:val="00F84055"/>
    <w:rsid w:val="00F849D4"/>
    <w:rsid w:val="00F87643"/>
    <w:rsid w:val="00F876F4"/>
    <w:rsid w:val="00F87CC0"/>
    <w:rsid w:val="00FA1DCA"/>
    <w:rsid w:val="00FA2835"/>
    <w:rsid w:val="00FA36C1"/>
    <w:rsid w:val="00FB0C08"/>
    <w:rsid w:val="00FB28E2"/>
    <w:rsid w:val="00FB4CC1"/>
    <w:rsid w:val="00FC3641"/>
    <w:rsid w:val="00FC5DE0"/>
    <w:rsid w:val="00FC6A10"/>
    <w:rsid w:val="00FD5A1F"/>
    <w:rsid w:val="00FD7DBF"/>
    <w:rsid w:val="00FE45E0"/>
    <w:rsid w:val="00FE7AA6"/>
    <w:rsid w:val="00FF2374"/>
    <w:rsid w:val="00FF3497"/>
    <w:rsid w:val="00FF5D1F"/>
    <w:rsid w:val="00FF68DA"/>
    <w:rsid w:val="1D585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F9E0F"/>
  <w15:docId w15:val="{8E6873FB-499D-49CA-959C-3F1311CF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B0D"/>
    <w:pPr>
      <w:ind w:left="720"/>
      <w:contextualSpacing/>
    </w:pPr>
  </w:style>
  <w:style w:type="table" w:styleId="TableGrid">
    <w:name w:val="Table Grid"/>
    <w:basedOn w:val="TableNormal"/>
    <w:uiPriority w:val="39"/>
    <w:rsid w:val="00286734"/>
    <w:pPr>
      <w:spacing w:after="0" w:line="240" w:lineRule="auto"/>
    </w:pPr>
    <w:rPr>
      <w:sz w:val="24"/>
      <w:szCs w:val="24"/>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6E7"/>
    <w:rPr>
      <w:color w:val="0563C1" w:themeColor="hyperlink"/>
      <w:u w:val="single"/>
    </w:rPr>
  </w:style>
  <w:style w:type="character" w:styleId="CommentReference">
    <w:name w:val="annotation reference"/>
    <w:basedOn w:val="DefaultParagraphFont"/>
    <w:uiPriority w:val="99"/>
    <w:semiHidden/>
    <w:unhideWhenUsed/>
    <w:rsid w:val="001A79B2"/>
    <w:rPr>
      <w:sz w:val="18"/>
      <w:szCs w:val="18"/>
    </w:rPr>
  </w:style>
  <w:style w:type="paragraph" w:styleId="CommentText">
    <w:name w:val="annotation text"/>
    <w:basedOn w:val="Normal"/>
    <w:link w:val="CommentTextChar"/>
    <w:uiPriority w:val="99"/>
    <w:unhideWhenUsed/>
    <w:rsid w:val="001A79B2"/>
    <w:pPr>
      <w:spacing w:line="240" w:lineRule="auto"/>
    </w:pPr>
    <w:rPr>
      <w:sz w:val="24"/>
      <w:szCs w:val="24"/>
    </w:rPr>
  </w:style>
  <w:style w:type="character" w:customStyle="1" w:styleId="CommentTextChar">
    <w:name w:val="Comment Text Char"/>
    <w:basedOn w:val="DefaultParagraphFont"/>
    <w:link w:val="CommentText"/>
    <w:uiPriority w:val="99"/>
    <w:rsid w:val="001A79B2"/>
    <w:rPr>
      <w:sz w:val="24"/>
      <w:szCs w:val="24"/>
    </w:rPr>
  </w:style>
  <w:style w:type="paragraph" w:styleId="CommentSubject">
    <w:name w:val="annotation subject"/>
    <w:basedOn w:val="CommentText"/>
    <w:next w:val="CommentText"/>
    <w:link w:val="CommentSubjectChar"/>
    <w:uiPriority w:val="99"/>
    <w:semiHidden/>
    <w:unhideWhenUsed/>
    <w:rsid w:val="001A79B2"/>
    <w:rPr>
      <w:b/>
      <w:bCs/>
      <w:sz w:val="20"/>
      <w:szCs w:val="20"/>
    </w:rPr>
  </w:style>
  <w:style w:type="character" w:customStyle="1" w:styleId="CommentSubjectChar">
    <w:name w:val="Comment Subject Char"/>
    <w:basedOn w:val="CommentTextChar"/>
    <w:link w:val="CommentSubject"/>
    <w:uiPriority w:val="99"/>
    <w:semiHidden/>
    <w:rsid w:val="001A79B2"/>
    <w:rPr>
      <w:b/>
      <w:bCs/>
      <w:sz w:val="20"/>
      <w:szCs w:val="20"/>
    </w:rPr>
  </w:style>
  <w:style w:type="paragraph" w:styleId="BalloonText">
    <w:name w:val="Balloon Text"/>
    <w:basedOn w:val="Normal"/>
    <w:link w:val="BalloonTextChar"/>
    <w:uiPriority w:val="99"/>
    <w:semiHidden/>
    <w:unhideWhenUsed/>
    <w:rsid w:val="001A79B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B2"/>
    <w:rPr>
      <w:rFonts w:ascii="Lucida Grande" w:hAnsi="Lucida Grande" w:cs="Lucida Grande"/>
      <w:sz w:val="18"/>
      <w:szCs w:val="18"/>
    </w:rPr>
  </w:style>
  <w:style w:type="paragraph" w:styleId="Revision">
    <w:name w:val="Revision"/>
    <w:hidden/>
    <w:uiPriority w:val="99"/>
    <w:semiHidden/>
    <w:rsid w:val="00595E99"/>
    <w:pPr>
      <w:spacing w:after="0" w:line="240" w:lineRule="auto"/>
    </w:pPr>
  </w:style>
  <w:style w:type="paragraph" w:styleId="FootnoteText">
    <w:name w:val="footnote text"/>
    <w:basedOn w:val="Normal"/>
    <w:link w:val="FootnoteTextChar"/>
    <w:uiPriority w:val="99"/>
    <w:unhideWhenUsed/>
    <w:rsid w:val="004D291C"/>
    <w:pPr>
      <w:spacing w:after="0" w:line="240" w:lineRule="auto"/>
    </w:pPr>
    <w:rPr>
      <w:sz w:val="24"/>
      <w:szCs w:val="24"/>
    </w:rPr>
  </w:style>
  <w:style w:type="character" w:customStyle="1" w:styleId="FootnoteTextChar">
    <w:name w:val="Footnote Text Char"/>
    <w:basedOn w:val="DefaultParagraphFont"/>
    <w:link w:val="FootnoteText"/>
    <w:uiPriority w:val="99"/>
    <w:rsid w:val="004D291C"/>
    <w:rPr>
      <w:sz w:val="24"/>
      <w:szCs w:val="24"/>
    </w:rPr>
  </w:style>
  <w:style w:type="character" w:styleId="FootnoteReference">
    <w:name w:val="footnote reference"/>
    <w:basedOn w:val="DefaultParagraphFont"/>
    <w:uiPriority w:val="99"/>
    <w:unhideWhenUsed/>
    <w:rsid w:val="004D291C"/>
    <w:rPr>
      <w:vertAlign w:val="superscript"/>
    </w:rPr>
  </w:style>
  <w:style w:type="paragraph" w:styleId="NormalWeb">
    <w:name w:val="Normal (Web)"/>
    <w:basedOn w:val="Normal"/>
    <w:uiPriority w:val="99"/>
    <w:unhideWhenUsed/>
    <w:rsid w:val="00001014"/>
    <w:pPr>
      <w:spacing w:before="100" w:beforeAutospacing="1" w:after="100" w:afterAutospacing="1" w:line="240" w:lineRule="auto"/>
    </w:pPr>
    <w:rPr>
      <w:rFonts w:ascii="Times" w:hAnsi="Times" w:cs="Times New Roman"/>
      <w:sz w:val="20"/>
      <w:szCs w:val="20"/>
      <w:lang w:val="en-GB"/>
    </w:rPr>
  </w:style>
  <w:style w:type="table" w:styleId="LightList-Accent5">
    <w:name w:val="Light List Accent 5"/>
    <w:basedOn w:val="TableNormal"/>
    <w:uiPriority w:val="61"/>
    <w:rsid w:val="003C094B"/>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styleId="FollowedHyperlink">
    <w:name w:val="FollowedHyperlink"/>
    <w:basedOn w:val="DefaultParagraphFont"/>
    <w:uiPriority w:val="99"/>
    <w:semiHidden/>
    <w:unhideWhenUsed/>
    <w:rsid w:val="008B52AE"/>
    <w:rPr>
      <w:color w:val="954F72" w:themeColor="followedHyperlink"/>
      <w:u w:val="single"/>
    </w:rPr>
  </w:style>
  <w:style w:type="character" w:customStyle="1" w:styleId="apple-converted-space">
    <w:name w:val="apple-converted-space"/>
    <w:basedOn w:val="DefaultParagraphFont"/>
    <w:rsid w:val="0043631D"/>
  </w:style>
  <w:style w:type="table" w:customStyle="1" w:styleId="TableGrid1">
    <w:name w:val="Table Grid1"/>
    <w:basedOn w:val="TableNormal"/>
    <w:next w:val="TableGrid"/>
    <w:uiPriority w:val="59"/>
    <w:rsid w:val="00A56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113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1135"/>
  </w:style>
  <w:style w:type="paragraph" w:styleId="Footer">
    <w:name w:val="footer"/>
    <w:basedOn w:val="Normal"/>
    <w:link w:val="FooterChar"/>
    <w:uiPriority w:val="99"/>
    <w:unhideWhenUsed/>
    <w:rsid w:val="00BE113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1135"/>
  </w:style>
  <w:style w:type="character" w:customStyle="1" w:styleId="UnresolvedMention1">
    <w:name w:val="Unresolved Mention1"/>
    <w:basedOn w:val="DefaultParagraphFont"/>
    <w:uiPriority w:val="99"/>
    <w:semiHidden/>
    <w:unhideWhenUsed/>
    <w:rsid w:val="002B0D60"/>
    <w:rPr>
      <w:color w:val="605E5C"/>
      <w:shd w:val="clear" w:color="auto" w:fill="E1DFDD"/>
    </w:rPr>
  </w:style>
  <w:style w:type="paragraph" w:customStyle="1" w:styleId="TableParagraph">
    <w:name w:val="Table Paragraph"/>
    <w:basedOn w:val="Normal"/>
    <w:uiPriority w:val="1"/>
    <w:qFormat/>
    <w:rsid w:val="00080CB7"/>
    <w:pPr>
      <w:widowControl w:val="0"/>
      <w:autoSpaceDE w:val="0"/>
      <w:autoSpaceDN w:val="0"/>
      <w:spacing w:after="0" w:line="240" w:lineRule="auto"/>
      <w:ind w:left="107"/>
    </w:pPr>
    <w:rPr>
      <w:rFonts w:ascii="Calibri" w:eastAsia="Calibri" w:hAnsi="Calibri" w:cs="Calibri"/>
      <w:lang w:val="en-GB" w:bidi="en-US"/>
    </w:rPr>
  </w:style>
  <w:style w:type="paragraph" w:customStyle="1" w:styleId="xmsocommenttext">
    <w:name w:val="x_msocommenttext"/>
    <w:basedOn w:val="Normal"/>
    <w:rsid w:val="00080CB7"/>
    <w:pPr>
      <w:spacing w:after="0" w:line="240" w:lineRule="auto"/>
    </w:pPr>
    <w:rPr>
      <w:rFonts w:ascii="Calibri" w:hAnsi="Calibri" w:cs="Calibri"/>
      <w:lang w:val="en-GB" w:eastAsia="en-GB"/>
    </w:rPr>
  </w:style>
  <w:style w:type="character" w:styleId="UnresolvedMention">
    <w:name w:val="Unresolved Mention"/>
    <w:basedOn w:val="DefaultParagraphFont"/>
    <w:uiPriority w:val="99"/>
    <w:semiHidden/>
    <w:unhideWhenUsed/>
    <w:rsid w:val="007E21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66">
      <w:bodyDiv w:val="1"/>
      <w:marLeft w:val="0"/>
      <w:marRight w:val="0"/>
      <w:marTop w:val="0"/>
      <w:marBottom w:val="0"/>
      <w:divBdr>
        <w:top w:val="none" w:sz="0" w:space="0" w:color="auto"/>
        <w:left w:val="none" w:sz="0" w:space="0" w:color="auto"/>
        <w:bottom w:val="none" w:sz="0" w:space="0" w:color="auto"/>
        <w:right w:val="none" w:sz="0" w:space="0" w:color="auto"/>
      </w:divBdr>
      <w:divsChild>
        <w:div w:id="1805149671">
          <w:marLeft w:val="547"/>
          <w:marRight w:val="0"/>
          <w:marTop w:val="106"/>
          <w:marBottom w:val="0"/>
          <w:divBdr>
            <w:top w:val="none" w:sz="0" w:space="0" w:color="auto"/>
            <w:left w:val="none" w:sz="0" w:space="0" w:color="auto"/>
            <w:bottom w:val="none" w:sz="0" w:space="0" w:color="auto"/>
            <w:right w:val="none" w:sz="0" w:space="0" w:color="auto"/>
          </w:divBdr>
        </w:div>
      </w:divsChild>
    </w:div>
    <w:div w:id="5257777">
      <w:bodyDiv w:val="1"/>
      <w:marLeft w:val="0"/>
      <w:marRight w:val="0"/>
      <w:marTop w:val="0"/>
      <w:marBottom w:val="0"/>
      <w:divBdr>
        <w:top w:val="none" w:sz="0" w:space="0" w:color="auto"/>
        <w:left w:val="none" w:sz="0" w:space="0" w:color="auto"/>
        <w:bottom w:val="none" w:sz="0" w:space="0" w:color="auto"/>
        <w:right w:val="none" w:sz="0" w:space="0" w:color="auto"/>
      </w:divBdr>
    </w:div>
    <w:div w:id="12418280">
      <w:bodyDiv w:val="1"/>
      <w:marLeft w:val="0"/>
      <w:marRight w:val="0"/>
      <w:marTop w:val="0"/>
      <w:marBottom w:val="0"/>
      <w:divBdr>
        <w:top w:val="none" w:sz="0" w:space="0" w:color="auto"/>
        <w:left w:val="none" w:sz="0" w:space="0" w:color="auto"/>
        <w:bottom w:val="none" w:sz="0" w:space="0" w:color="auto"/>
        <w:right w:val="none" w:sz="0" w:space="0" w:color="auto"/>
      </w:divBdr>
    </w:div>
    <w:div w:id="27418838">
      <w:bodyDiv w:val="1"/>
      <w:marLeft w:val="0"/>
      <w:marRight w:val="0"/>
      <w:marTop w:val="0"/>
      <w:marBottom w:val="0"/>
      <w:divBdr>
        <w:top w:val="none" w:sz="0" w:space="0" w:color="auto"/>
        <w:left w:val="none" w:sz="0" w:space="0" w:color="auto"/>
        <w:bottom w:val="none" w:sz="0" w:space="0" w:color="auto"/>
        <w:right w:val="none" w:sz="0" w:space="0" w:color="auto"/>
      </w:divBdr>
    </w:div>
    <w:div w:id="62341746">
      <w:bodyDiv w:val="1"/>
      <w:marLeft w:val="0"/>
      <w:marRight w:val="0"/>
      <w:marTop w:val="0"/>
      <w:marBottom w:val="0"/>
      <w:divBdr>
        <w:top w:val="none" w:sz="0" w:space="0" w:color="auto"/>
        <w:left w:val="none" w:sz="0" w:space="0" w:color="auto"/>
        <w:bottom w:val="none" w:sz="0" w:space="0" w:color="auto"/>
        <w:right w:val="none" w:sz="0" w:space="0" w:color="auto"/>
      </w:divBdr>
    </w:div>
    <w:div w:id="88238217">
      <w:bodyDiv w:val="1"/>
      <w:marLeft w:val="0"/>
      <w:marRight w:val="0"/>
      <w:marTop w:val="0"/>
      <w:marBottom w:val="0"/>
      <w:divBdr>
        <w:top w:val="none" w:sz="0" w:space="0" w:color="auto"/>
        <w:left w:val="none" w:sz="0" w:space="0" w:color="auto"/>
        <w:bottom w:val="none" w:sz="0" w:space="0" w:color="auto"/>
        <w:right w:val="none" w:sz="0" w:space="0" w:color="auto"/>
      </w:divBdr>
    </w:div>
    <w:div w:id="112751588">
      <w:bodyDiv w:val="1"/>
      <w:marLeft w:val="0"/>
      <w:marRight w:val="0"/>
      <w:marTop w:val="0"/>
      <w:marBottom w:val="0"/>
      <w:divBdr>
        <w:top w:val="none" w:sz="0" w:space="0" w:color="auto"/>
        <w:left w:val="none" w:sz="0" w:space="0" w:color="auto"/>
        <w:bottom w:val="none" w:sz="0" w:space="0" w:color="auto"/>
        <w:right w:val="none" w:sz="0" w:space="0" w:color="auto"/>
      </w:divBdr>
    </w:div>
    <w:div w:id="252052288">
      <w:bodyDiv w:val="1"/>
      <w:marLeft w:val="0"/>
      <w:marRight w:val="0"/>
      <w:marTop w:val="0"/>
      <w:marBottom w:val="0"/>
      <w:divBdr>
        <w:top w:val="none" w:sz="0" w:space="0" w:color="auto"/>
        <w:left w:val="none" w:sz="0" w:space="0" w:color="auto"/>
        <w:bottom w:val="none" w:sz="0" w:space="0" w:color="auto"/>
        <w:right w:val="none" w:sz="0" w:space="0" w:color="auto"/>
      </w:divBdr>
    </w:div>
    <w:div w:id="338702306">
      <w:bodyDiv w:val="1"/>
      <w:marLeft w:val="0"/>
      <w:marRight w:val="0"/>
      <w:marTop w:val="0"/>
      <w:marBottom w:val="0"/>
      <w:divBdr>
        <w:top w:val="none" w:sz="0" w:space="0" w:color="auto"/>
        <w:left w:val="none" w:sz="0" w:space="0" w:color="auto"/>
        <w:bottom w:val="none" w:sz="0" w:space="0" w:color="auto"/>
        <w:right w:val="none" w:sz="0" w:space="0" w:color="auto"/>
      </w:divBdr>
    </w:div>
    <w:div w:id="373769623">
      <w:bodyDiv w:val="1"/>
      <w:marLeft w:val="0"/>
      <w:marRight w:val="0"/>
      <w:marTop w:val="0"/>
      <w:marBottom w:val="0"/>
      <w:divBdr>
        <w:top w:val="none" w:sz="0" w:space="0" w:color="auto"/>
        <w:left w:val="none" w:sz="0" w:space="0" w:color="auto"/>
        <w:bottom w:val="none" w:sz="0" w:space="0" w:color="auto"/>
        <w:right w:val="none" w:sz="0" w:space="0" w:color="auto"/>
      </w:divBdr>
    </w:div>
    <w:div w:id="399984824">
      <w:bodyDiv w:val="1"/>
      <w:marLeft w:val="0"/>
      <w:marRight w:val="0"/>
      <w:marTop w:val="0"/>
      <w:marBottom w:val="0"/>
      <w:divBdr>
        <w:top w:val="none" w:sz="0" w:space="0" w:color="auto"/>
        <w:left w:val="none" w:sz="0" w:space="0" w:color="auto"/>
        <w:bottom w:val="none" w:sz="0" w:space="0" w:color="auto"/>
        <w:right w:val="none" w:sz="0" w:space="0" w:color="auto"/>
      </w:divBdr>
    </w:div>
    <w:div w:id="415443871">
      <w:bodyDiv w:val="1"/>
      <w:marLeft w:val="0"/>
      <w:marRight w:val="0"/>
      <w:marTop w:val="0"/>
      <w:marBottom w:val="0"/>
      <w:divBdr>
        <w:top w:val="none" w:sz="0" w:space="0" w:color="auto"/>
        <w:left w:val="none" w:sz="0" w:space="0" w:color="auto"/>
        <w:bottom w:val="none" w:sz="0" w:space="0" w:color="auto"/>
        <w:right w:val="none" w:sz="0" w:space="0" w:color="auto"/>
      </w:divBdr>
    </w:div>
    <w:div w:id="439448275">
      <w:bodyDiv w:val="1"/>
      <w:marLeft w:val="0"/>
      <w:marRight w:val="0"/>
      <w:marTop w:val="0"/>
      <w:marBottom w:val="0"/>
      <w:divBdr>
        <w:top w:val="none" w:sz="0" w:space="0" w:color="auto"/>
        <w:left w:val="none" w:sz="0" w:space="0" w:color="auto"/>
        <w:bottom w:val="none" w:sz="0" w:space="0" w:color="auto"/>
        <w:right w:val="none" w:sz="0" w:space="0" w:color="auto"/>
      </w:divBdr>
    </w:div>
    <w:div w:id="50104855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73">
          <w:marLeft w:val="547"/>
          <w:marRight w:val="0"/>
          <w:marTop w:val="86"/>
          <w:marBottom w:val="0"/>
          <w:divBdr>
            <w:top w:val="none" w:sz="0" w:space="0" w:color="auto"/>
            <w:left w:val="none" w:sz="0" w:space="0" w:color="auto"/>
            <w:bottom w:val="none" w:sz="0" w:space="0" w:color="auto"/>
            <w:right w:val="none" w:sz="0" w:space="0" w:color="auto"/>
          </w:divBdr>
        </w:div>
        <w:div w:id="924413163">
          <w:marLeft w:val="547"/>
          <w:marRight w:val="0"/>
          <w:marTop w:val="86"/>
          <w:marBottom w:val="0"/>
          <w:divBdr>
            <w:top w:val="none" w:sz="0" w:space="0" w:color="auto"/>
            <w:left w:val="none" w:sz="0" w:space="0" w:color="auto"/>
            <w:bottom w:val="none" w:sz="0" w:space="0" w:color="auto"/>
            <w:right w:val="none" w:sz="0" w:space="0" w:color="auto"/>
          </w:divBdr>
        </w:div>
        <w:div w:id="188496665">
          <w:marLeft w:val="547"/>
          <w:marRight w:val="0"/>
          <w:marTop w:val="86"/>
          <w:marBottom w:val="0"/>
          <w:divBdr>
            <w:top w:val="none" w:sz="0" w:space="0" w:color="auto"/>
            <w:left w:val="none" w:sz="0" w:space="0" w:color="auto"/>
            <w:bottom w:val="none" w:sz="0" w:space="0" w:color="auto"/>
            <w:right w:val="none" w:sz="0" w:space="0" w:color="auto"/>
          </w:divBdr>
        </w:div>
        <w:div w:id="524834095">
          <w:marLeft w:val="547"/>
          <w:marRight w:val="0"/>
          <w:marTop w:val="86"/>
          <w:marBottom w:val="0"/>
          <w:divBdr>
            <w:top w:val="none" w:sz="0" w:space="0" w:color="auto"/>
            <w:left w:val="none" w:sz="0" w:space="0" w:color="auto"/>
            <w:bottom w:val="none" w:sz="0" w:space="0" w:color="auto"/>
            <w:right w:val="none" w:sz="0" w:space="0" w:color="auto"/>
          </w:divBdr>
        </w:div>
        <w:div w:id="1659577164">
          <w:marLeft w:val="547"/>
          <w:marRight w:val="0"/>
          <w:marTop w:val="86"/>
          <w:marBottom w:val="0"/>
          <w:divBdr>
            <w:top w:val="none" w:sz="0" w:space="0" w:color="auto"/>
            <w:left w:val="none" w:sz="0" w:space="0" w:color="auto"/>
            <w:bottom w:val="none" w:sz="0" w:space="0" w:color="auto"/>
            <w:right w:val="none" w:sz="0" w:space="0" w:color="auto"/>
          </w:divBdr>
        </w:div>
      </w:divsChild>
    </w:div>
    <w:div w:id="566460161">
      <w:bodyDiv w:val="1"/>
      <w:marLeft w:val="0"/>
      <w:marRight w:val="0"/>
      <w:marTop w:val="0"/>
      <w:marBottom w:val="0"/>
      <w:divBdr>
        <w:top w:val="none" w:sz="0" w:space="0" w:color="auto"/>
        <w:left w:val="none" w:sz="0" w:space="0" w:color="auto"/>
        <w:bottom w:val="none" w:sz="0" w:space="0" w:color="auto"/>
        <w:right w:val="none" w:sz="0" w:space="0" w:color="auto"/>
      </w:divBdr>
    </w:div>
    <w:div w:id="586227047">
      <w:bodyDiv w:val="1"/>
      <w:marLeft w:val="0"/>
      <w:marRight w:val="0"/>
      <w:marTop w:val="0"/>
      <w:marBottom w:val="0"/>
      <w:divBdr>
        <w:top w:val="none" w:sz="0" w:space="0" w:color="auto"/>
        <w:left w:val="none" w:sz="0" w:space="0" w:color="auto"/>
        <w:bottom w:val="none" w:sz="0" w:space="0" w:color="auto"/>
        <w:right w:val="none" w:sz="0" w:space="0" w:color="auto"/>
      </w:divBdr>
      <w:divsChild>
        <w:div w:id="753279537">
          <w:marLeft w:val="806"/>
          <w:marRight w:val="0"/>
          <w:marTop w:val="96"/>
          <w:marBottom w:val="0"/>
          <w:divBdr>
            <w:top w:val="none" w:sz="0" w:space="0" w:color="auto"/>
            <w:left w:val="none" w:sz="0" w:space="0" w:color="auto"/>
            <w:bottom w:val="none" w:sz="0" w:space="0" w:color="auto"/>
            <w:right w:val="none" w:sz="0" w:space="0" w:color="auto"/>
          </w:divBdr>
        </w:div>
        <w:div w:id="2112357294">
          <w:marLeft w:val="547"/>
          <w:marRight w:val="0"/>
          <w:marTop w:val="86"/>
          <w:marBottom w:val="0"/>
          <w:divBdr>
            <w:top w:val="none" w:sz="0" w:space="0" w:color="auto"/>
            <w:left w:val="none" w:sz="0" w:space="0" w:color="auto"/>
            <w:bottom w:val="none" w:sz="0" w:space="0" w:color="auto"/>
            <w:right w:val="none" w:sz="0" w:space="0" w:color="auto"/>
          </w:divBdr>
        </w:div>
        <w:div w:id="872618771">
          <w:marLeft w:val="547"/>
          <w:marRight w:val="0"/>
          <w:marTop w:val="86"/>
          <w:marBottom w:val="0"/>
          <w:divBdr>
            <w:top w:val="none" w:sz="0" w:space="0" w:color="auto"/>
            <w:left w:val="none" w:sz="0" w:space="0" w:color="auto"/>
            <w:bottom w:val="none" w:sz="0" w:space="0" w:color="auto"/>
            <w:right w:val="none" w:sz="0" w:space="0" w:color="auto"/>
          </w:divBdr>
        </w:div>
        <w:div w:id="941109922">
          <w:marLeft w:val="547"/>
          <w:marRight w:val="0"/>
          <w:marTop w:val="86"/>
          <w:marBottom w:val="0"/>
          <w:divBdr>
            <w:top w:val="none" w:sz="0" w:space="0" w:color="auto"/>
            <w:left w:val="none" w:sz="0" w:space="0" w:color="auto"/>
            <w:bottom w:val="none" w:sz="0" w:space="0" w:color="auto"/>
            <w:right w:val="none" w:sz="0" w:space="0" w:color="auto"/>
          </w:divBdr>
        </w:div>
        <w:div w:id="3552969">
          <w:marLeft w:val="547"/>
          <w:marRight w:val="0"/>
          <w:marTop w:val="86"/>
          <w:marBottom w:val="0"/>
          <w:divBdr>
            <w:top w:val="none" w:sz="0" w:space="0" w:color="auto"/>
            <w:left w:val="none" w:sz="0" w:space="0" w:color="auto"/>
            <w:bottom w:val="none" w:sz="0" w:space="0" w:color="auto"/>
            <w:right w:val="none" w:sz="0" w:space="0" w:color="auto"/>
          </w:divBdr>
        </w:div>
        <w:div w:id="284426600">
          <w:marLeft w:val="547"/>
          <w:marRight w:val="0"/>
          <w:marTop w:val="86"/>
          <w:marBottom w:val="0"/>
          <w:divBdr>
            <w:top w:val="none" w:sz="0" w:space="0" w:color="auto"/>
            <w:left w:val="none" w:sz="0" w:space="0" w:color="auto"/>
            <w:bottom w:val="none" w:sz="0" w:space="0" w:color="auto"/>
            <w:right w:val="none" w:sz="0" w:space="0" w:color="auto"/>
          </w:divBdr>
        </w:div>
        <w:div w:id="2044862300">
          <w:marLeft w:val="547"/>
          <w:marRight w:val="0"/>
          <w:marTop w:val="86"/>
          <w:marBottom w:val="0"/>
          <w:divBdr>
            <w:top w:val="none" w:sz="0" w:space="0" w:color="auto"/>
            <w:left w:val="none" w:sz="0" w:space="0" w:color="auto"/>
            <w:bottom w:val="none" w:sz="0" w:space="0" w:color="auto"/>
            <w:right w:val="none" w:sz="0" w:space="0" w:color="auto"/>
          </w:divBdr>
        </w:div>
        <w:div w:id="345792654">
          <w:marLeft w:val="547"/>
          <w:marRight w:val="0"/>
          <w:marTop w:val="86"/>
          <w:marBottom w:val="0"/>
          <w:divBdr>
            <w:top w:val="none" w:sz="0" w:space="0" w:color="auto"/>
            <w:left w:val="none" w:sz="0" w:space="0" w:color="auto"/>
            <w:bottom w:val="none" w:sz="0" w:space="0" w:color="auto"/>
            <w:right w:val="none" w:sz="0" w:space="0" w:color="auto"/>
          </w:divBdr>
        </w:div>
        <w:div w:id="304939595">
          <w:marLeft w:val="547"/>
          <w:marRight w:val="0"/>
          <w:marTop w:val="86"/>
          <w:marBottom w:val="0"/>
          <w:divBdr>
            <w:top w:val="none" w:sz="0" w:space="0" w:color="auto"/>
            <w:left w:val="none" w:sz="0" w:space="0" w:color="auto"/>
            <w:bottom w:val="none" w:sz="0" w:space="0" w:color="auto"/>
            <w:right w:val="none" w:sz="0" w:space="0" w:color="auto"/>
          </w:divBdr>
        </w:div>
        <w:div w:id="464196715">
          <w:marLeft w:val="547"/>
          <w:marRight w:val="0"/>
          <w:marTop w:val="86"/>
          <w:marBottom w:val="0"/>
          <w:divBdr>
            <w:top w:val="none" w:sz="0" w:space="0" w:color="auto"/>
            <w:left w:val="none" w:sz="0" w:space="0" w:color="auto"/>
            <w:bottom w:val="none" w:sz="0" w:space="0" w:color="auto"/>
            <w:right w:val="none" w:sz="0" w:space="0" w:color="auto"/>
          </w:divBdr>
        </w:div>
        <w:div w:id="358362938">
          <w:marLeft w:val="547"/>
          <w:marRight w:val="0"/>
          <w:marTop w:val="86"/>
          <w:marBottom w:val="0"/>
          <w:divBdr>
            <w:top w:val="none" w:sz="0" w:space="0" w:color="auto"/>
            <w:left w:val="none" w:sz="0" w:space="0" w:color="auto"/>
            <w:bottom w:val="none" w:sz="0" w:space="0" w:color="auto"/>
            <w:right w:val="none" w:sz="0" w:space="0" w:color="auto"/>
          </w:divBdr>
        </w:div>
        <w:div w:id="1208104577">
          <w:marLeft w:val="547"/>
          <w:marRight w:val="0"/>
          <w:marTop w:val="86"/>
          <w:marBottom w:val="0"/>
          <w:divBdr>
            <w:top w:val="none" w:sz="0" w:space="0" w:color="auto"/>
            <w:left w:val="none" w:sz="0" w:space="0" w:color="auto"/>
            <w:bottom w:val="none" w:sz="0" w:space="0" w:color="auto"/>
            <w:right w:val="none" w:sz="0" w:space="0" w:color="auto"/>
          </w:divBdr>
        </w:div>
        <w:div w:id="130558650">
          <w:marLeft w:val="547"/>
          <w:marRight w:val="0"/>
          <w:marTop w:val="86"/>
          <w:marBottom w:val="0"/>
          <w:divBdr>
            <w:top w:val="none" w:sz="0" w:space="0" w:color="auto"/>
            <w:left w:val="none" w:sz="0" w:space="0" w:color="auto"/>
            <w:bottom w:val="none" w:sz="0" w:space="0" w:color="auto"/>
            <w:right w:val="none" w:sz="0" w:space="0" w:color="auto"/>
          </w:divBdr>
        </w:div>
        <w:div w:id="2001347214">
          <w:marLeft w:val="547"/>
          <w:marRight w:val="0"/>
          <w:marTop w:val="86"/>
          <w:marBottom w:val="0"/>
          <w:divBdr>
            <w:top w:val="none" w:sz="0" w:space="0" w:color="auto"/>
            <w:left w:val="none" w:sz="0" w:space="0" w:color="auto"/>
            <w:bottom w:val="none" w:sz="0" w:space="0" w:color="auto"/>
            <w:right w:val="none" w:sz="0" w:space="0" w:color="auto"/>
          </w:divBdr>
        </w:div>
      </w:divsChild>
    </w:div>
    <w:div w:id="626081438">
      <w:bodyDiv w:val="1"/>
      <w:marLeft w:val="0"/>
      <w:marRight w:val="0"/>
      <w:marTop w:val="0"/>
      <w:marBottom w:val="0"/>
      <w:divBdr>
        <w:top w:val="none" w:sz="0" w:space="0" w:color="auto"/>
        <w:left w:val="none" w:sz="0" w:space="0" w:color="auto"/>
        <w:bottom w:val="none" w:sz="0" w:space="0" w:color="auto"/>
        <w:right w:val="none" w:sz="0" w:space="0" w:color="auto"/>
      </w:divBdr>
    </w:div>
    <w:div w:id="679746360">
      <w:bodyDiv w:val="1"/>
      <w:marLeft w:val="0"/>
      <w:marRight w:val="0"/>
      <w:marTop w:val="0"/>
      <w:marBottom w:val="0"/>
      <w:divBdr>
        <w:top w:val="none" w:sz="0" w:space="0" w:color="auto"/>
        <w:left w:val="none" w:sz="0" w:space="0" w:color="auto"/>
        <w:bottom w:val="none" w:sz="0" w:space="0" w:color="auto"/>
        <w:right w:val="none" w:sz="0" w:space="0" w:color="auto"/>
      </w:divBdr>
    </w:div>
    <w:div w:id="683289081">
      <w:bodyDiv w:val="1"/>
      <w:marLeft w:val="0"/>
      <w:marRight w:val="0"/>
      <w:marTop w:val="0"/>
      <w:marBottom w:val="0"/>
      <w:divBdr>
        <w:top w:val="none" w:sz="0" w:space="0" w:color="auto"/>
        <w:left w:val="none" w:sz="0" w:space="0" w:color="auto"/>
        <w:bottom w:val="none" w:sz="0" w:space="0" w:color="auto"/>
        <w:right w:val="none" w:sz="0" w:space="0" w:color="auto"/>
      </w:divBdr>
    </w:div>
    <w:div w:id="718015930">
      <w:bodyDiv w:val="1"/>
      <w:marLeft w:val="0"/>
      <w:marRight w:val="0"/>
      <w:marTop w:val="0"/>
      <w:marBottom w:val="0"/>
      <w:divBdr>
        <w:top w:val="none" w:sz="0" w:space="0" w:color="auto"/>
        <w:left w:val="none" w:sz="0" w:space="0" w:color="auto"/>
        <w:bottom w:val="none" w:sz="0" w:space="0" w:color="auto"/>
        <w:right w:val="none" w:sz="0" w:space="0" w:color="auto"/>
      </w:divBdr>
    </w:div>
    <w:div w:id="739911681">
      <w:bodyDiv w:val="1"/>
      <w:marLeft w:val="0"/>
      <w:marRight w:val="0"/>
      <w:marTop w:val="0"/>
      <w:marBottom w:val="0"/>
      <w:divBdr>
        <w:top w:val="none" w:sz="0" w:space="0" w:color="auto"/>
        <w:left w:val="none" w:sz="0" w:space="0" w:color="auto"/>
        <w:bottom w:val="none" w:sz="0" w:space="0" w:color="auto"/>
        <w:right w:val="none" w:sz="0" w:space="0" w:color="auto"/>
      </w:divBdr>
    </w:div>
    <w:div w:id="794912219">
      <w:bodyDiv w:val="1"/>
      <w:marLeft w:val="0"/>
      <w:marRight w:val="0"/>
      <w:marTop w:val="0"/>
      <w:marBottom w:val="0"/>
      <w:divBdr>
        <w:top w:val="none" w:sz="0" w:space="0" w:color="auto"/>
        <w:left w:val="none" w:sz="0" w:space="0" w:color="auto"/>
        <w:bottom w:val="none" w:sz="0" w:space="0" w:color="auto"/>
        <w:right w:val="none" w:sz="0" w:space="0" w:color="auto"/>
      </w:divBdr>
      <w:divsChild>
        <w:div w:id="1650359169">
          <w:marLeft w:val="0"/>
          <w:marRight w:val="0"/>
          <w:marTop w:val="0"/>
          <w:marBottom w:val="0"/>
          <w:divBdr>
            <w:top w:val="none" w:sz="0" w:space="0" w:color="auto"/>
            <w:left w:val="none" w:sz="0" w:space="0" w:color="auto"/>
            <w:bottom w:val="none" w:sz="0" w:space="0" w:color="auto"/>
            <w:right w:val="none" w:sz="0" w:space="0" w:color="auto"/>
          </w:divBdr>
          <w:divsChild>
            <w:div w:id="771165007">
              <w:marLeft w:val="0"/>
              <w:marRight w:val="0"/>
              <w:marTop w:val="0"/>
              <w:marBottom w:val="0"/>
              <w:divBdr>
                <w:top w:val="none" w:sz="0" w:space="0" w:color="auto"/>
                <w:left w:val="none" w:sz="0" w:space="0" w:color="auto"/>
                <w:bottom w:val="none" w:sz="0" w:space="0" w:color="auto"/>
                <w:right w:val="none" w:sz="0" w:space="0" w:color="auto"/>
              </w:divBdr>
              <w:divsChild>
                <w:div w:id="7178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3808">
      <w:bodyDiv w:val="1"/>
      <w:marLeft w:val="0"/>
      <w:marRight w:val="0"/>
      <w:marTop w:val="0"/>
      <w:marBottom w:val="0"/>
      <w:divBdr>
        <w:top w:val="none" w:sz="0" w:space="0" w:color="auto"/>
        <w:left w:val="none" w:sz="0" w:space="0" w:color="auto"/>
        <w:bottom w:val="none" w:sz="0" w:space="0" w:color="auto"/>
        <w:right w:val="none" w:sz="0" w:space="0" w:color="auto"/>
      </w:divBdr>
    </w:div>
    <w:div w:id="817116187">
      <w:bodyDiv w:val="1"/>
      <w:marLeft w:val="0"/>
      <w:marRight w:val="0"/>
      <w:marTop w:val="0"/>
      <w:marBottom w:val="0"/>
      <w:divBdr>
        <w:top w:val="none" w:sz="0" w:space="0" w:color="auto"/>
        <w:left w:val="none" w:sz="0" w:space="0" w:color="auto"/>
        <w:bottom w:val="none" w:sz="0" w:space="0" w:color="auto"/>
        <w:right w:val="none" w:sz="0" w:space="0" w:color="auto"/>
      </w:divBdr>
    </w:div>
    <w:div w:id="865484963">
      <w:bodyDiv w:val="1"/>
      <w:marLeft w:val="0"/>
      <w:marRight w:val="0"/>
      <w:marTop w:val="0"/>
      <w:marBottom w:val="0"/>
      <w:divBdr>
        <w:top w:val="none" w:sz="0" w:space="0" w:color="auto"/>
        <w:left w:val="none" w:sz="0" w:space="0" w:color="auto"/>
        <w:bottom w:val="none" w:sz="0" w:space="0" w:color="auto"/>
        <w:right w:val="none" w:sz="0" w:space="0" w:color="auto"/>
      </w:divBdr>
      <w:divsChild>
        <w:div w:id="1546747589">
          <w:marLeft w:val="547"/>
          <w:marRight w:val="0"/>
          <w:marTop w:val="0"/>
          <w:marBottom w:val="0"/>
          <w:divBdr>
            <w:top w:val="none" w:sz="0" w:space="0" w:color="auto"/>
            <w:left w:val="none" w:sz="0" w:space="0" w:color="auto"/>
            <w:bottom w:val="none" w:sz="0" w:space="0" w:color="auto"/>
            <w:right w:val="none" w:sz="0" w:space="0" w:color="auto"/>
          </w:divBdr>
        </w:div>
        <w:div w:id="1429079345">
          <w:marLeft w:val="1166"/>
          <w:marRight w:val="0"/>
          <w:marTop w:val="0"/>
          <w:marBottom w:val="0"/>
          <w:divBdr>
            <w:top w:val="none" w:sz="0" w:space="0" w:color="auto"/>
            <w:left w:val="none" w:sz="0" w:space="0" w:color="auto"/>
            <w:bottom w:val="none" w:sz="0" w:space="0" w:color="auto"/>
            <w:right w:val="none" w:sz="0" w:space="0" w:color="auto"/>
          </w:divBdr>
        </w:div>
        <w:div w:id="1199784752">
          <w:marLeft w:val="1166"/>
          <w:marRight w:val="0"/>
          <w:marTop w:val="0"/>
          <w:marBottom w:val="0"/>
          <w:divBdr>
            <w:top w:val="none" w:sz="0" w:space="0" w:color="auto"/>
            <w:left w:val="none" w:sz="0" w:space="0" w:color="auto"/>
            <w:bottom w:val="none" w:sz="0" w:space="0" w:color="auto"/>
            <w:right w:val="none" w:sz="0" w:space="0" w:color="auto"/>
          </w:divBdr>
        </w:div>
      </w:divsChild>
    </w:div>
    <w:div w:id="877207599">
      <w:bodyDiv w:val="1"/>
      <w:marLeft w:val="0"/>
      <w:marRight w:val="0"/>
      <w:marTop w:val="0"/>
      <w:marBottom w:val="0"/>
      <w:divBdr>
        <w:top w:val="none" w:sz="0" w:space="0" w:color="auto"/>
        <w:left w:val="none" w:sz="0" w:space="0" w:color="auto"/>
        <w:bottom w:val="none" w:sz="0" w:space="0" w:color="auto"/>
        <w:right w:val="none" w:sz="0" w:space="0" w:color="auto"/>
      </w:divBdr>
    </w:div>
    <w:div w:id="948584064">
      <w:bodyDiv w:val="1"/>
      <w:marLeft w:val="0"/>
      <w:marRight w:val="0"/>
      <w:marTop w:val="0"/>
      <w:marBottom w:val="0"/>
      <w:divBdr>
        <w:top w:val="none" w:sz="0" w:space="0" w:color="auto"/>
        <w:left w:val="none" w:sz="0" w:space="0" w:color="auto"/>
        <w:bottom w:val="none" w:sz="0" w:space="0" w:color="auto"/>
        <w:right w:val="none" w:sz="0" w:space="0" w:color="auto"/>
      </w:divBdr>
      <w:divsChild>
        <w:div w:id="2006081218">
          <w:marLeft w:val="547"/>
          <w:marRight w:val="0"/>
          <w:marTop w:val="0"/>
          <w:marBottom w:val="0"/>
          <w:divBdr>
            <w:top w:val="none" w:sz="0" w:space="0" w:color="auto"/>
            <w:left w:val="none" w:sz="0" w:space="0" w:color="auto"/>
            <w:bottom w:val="none" w:sz="0" w:space="0" w:color="auto"/>
            <w:right w:val="none" w:sz="0" w:space="0" w:color="auto"/>
          </w:divBdr>
        </w:div>
        <w:div w:id="1624799804">
          <w:marLeft w:val="1166"/>
          <w:marRight w:val="0"/>
          <w:marTop w:val="0"/>
          <w:marBottom w:val="0"/>
          <w:divBdr>
            <w:top w:val="none" w:sz="0" w:space="0" w:color="auto"/>
            <w:left w:val="none" w:sz="0" w:space="0" w:color="auto"/>
            <w:bottom w:val="none" w:sz="0" w:space="0" w:color="auto"/>
            <w:right w:val="none" w:sz="0" w:space="0" w:color="auto"/>
          </w:divBdr>
        </w:div>
        <w:div w:id="2089115873">
          <w:marLeft w:val="1166"/>
          <w:marRight w:val="0"/>
          <w:marTop w:val="0"/>
          <w:marBottom w:val="0"/>
          <w:divBdr>
            <w:top w:val="none" w:sz="0" w:space="0" w:color="auto"/>
            <w:left w:val="none" w:sz="0" w:space="0" w:color="auto"/>
            <w:bottom w:val="none" w:sz="0" w:space="0" w:color="auto"/>
            <w:right w:val="none" w:sz="0" w:space="0" w:color="auto"/>
          </w:divBdr>
        </w:div>
      </w:divsChild>
    </w:div>
    <w:div w:id="985858860">
      <w:bodyDiv w:val="1"/>
      <w:marLeft w:val="0"/>
      <w:marRight w:val="0"/>
      <w:marTop w:val="0"/>
      <w:marBottom w:val="0"/>
      <w:divBdr>
        <w:top w:val="none" w:sz="0" w:space="0" w:color="auto"/>
        <w:left w:val="none" w:sz="0" w:space="0" w:color="auto"/>
        <w:bottom w:val="none" w:sz="0" w:space="0" w:color="auto"/>
        <w:right w:val="none" w:sz="0" w:space="0" w:color="auto"/>
      </w:divBdr>
    </w:div>
    <w:div w:id="992218781">
      <w:bodyDiv w:val="1"/>
      <w:marLeft w:val="0"/>
      <w:marRight w:val="0"/>
      <w:marTop w:val="0"/>
      <w:marBottom w:val="0"/>
      <w:divBdr>
        <w:top w:val="none" w:sz="0" w:space="0" w:color="auto"/>
        <w:left w:val="none" w:sz="0" w:space="0" w:color="auto"/>
        <w:bottom w:val="none" w:sz="0" w:space="0" w:color="auto"/>
        <w:right w:val="none" w:sz="0" w:space="0" w:color="auto"/>
      </w:divBdr>
    </w:div>
    <w:div w:id="1106853742">
      <w:bodyDiv w:val="1"/>
      <w:marLeft w:val="0"/>
      <w:marRight w:val="0"/>
      <w:marTop w:val="0"/>
      <w:marBottom w:val="0"/>
      <w:divBdr>
        <w:top w:val="none" w:sz="0" w:space="0" w:color="auto"/>
        <w:left w:val="none" w:sz="0" w:space="0" w:color="auto"/>
        <w:bottom w:val="none" w:sz="0" w:space="0" w:color="auto"/>
        <w:right w:val="none" w:sz="0" w:space="0" w:color="auto"/>
      </w:divBdr>
      <w:divsChild>
        <w:div w:id="1574781588">
          <w:marLeft w:val="0"/>
          <w:marRight w:val="0"/>
          <w:marTop w:val="0"/>
          <w:marBottom w:val="0"/>
          <w:divBdr>
            <w:top w:val="none" w:sz="0" w:space="0" w:color="auto"/>
            <w:left w:val="none" w:sz="0" w:space="0" w:color="auto"/>
            <w:bottom w:val="none" w:sz="0" w:space="0" w:color="auto"/>
            <w:right w:val="none" w:sz="0" w:space="0" w:color="auto"/>
          </w:divBdr>
          <w:divsChild>
            <w:div w:id="364448891">
              <w:marLeft w:val="0"/>
              <w:marRight w:val="0"/>
              <w:marTop w:val="0"/>
              <w:marBottom w:val="0"/>
              <w:divBdr>
                <w:top w:val="none" w:sz="0" w:space="0" w:color="auto"/>
                <w:left w:val="none" w:sz="0" w:space="0" w:color="auto"/>
                <w:bottom w:val="none" w:sz="0" w:space="0" w:color="auto"/>
                <w:right w:val="none" w:sz="0" w:space="0" w:color="auto"/>
              </w:divBdr>
              <w:divsChild>
                <w:div w:id="12560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630099">
      <w:bodyDiv w:val="1"/>
      <w:marLeft w:val="0"/>
      <w:marRight w:val="0"/>
      <w:marTop w:val="0"/>
      <w:marBottom w:val="0"/>
      <w:divBdr>
        <w:top w:val="none" w:sz="0" w:space="0" w:color="auto"/>
        <w:left w:val="none" w:sz="0" w:space="0" w:color="auto"/>
        <w:bottom w:val="none" w:sz="0" w:space="0" w:color="auto"/>
        <w:right w:val="none" w:sz="0" w:space="0" w:color="auto"/>
      </w:divBdr>
    </w:div>
    <w:div w:id="1196230160">
      <w:bodyDiv w:val="1"/>
      <w:marLeft w:val="0"/>
      <w:marRight w:val="0"/>
      <w:marTop w:val="0"/>
      <w:marBottom w:val="0"/>
      <w:divBdr>
        <w:top w:val="none" w:sz="0" w:space="0" w:color="auto"/>
        <w:left w:val="none" w:sz="0" w:space="0" w:color="auto"/>
        <w:bottom w:val="none" w:sz="0" w:space="0" w:color="auto"/>
        <w:right w:val="none" w:sz="0" w:space="0" w:color="auto"/>
      </w:divBdr>
      <w:divsChild>
        <w:div w:id="766198866">
          <w:marLeft w:val="547"/>
          <w:marRight w:val="0"/>
          <w:marTop w:val="96"/>
          <w:marBottom w:val="0"/>
          <w:divBdr>
            <w:top w:val="none" w:sz="0" w:space="0" w:color="auto"/>
            <w:left w:val="none" w:sz="0" w:space="0" w:color="auto"/>
            <w:bottom w:val="none" w:sz="0" w:space="0" w:color="auto"/>
            <w:right w:val="none" w:sz="0" w:space="0" w:color="auto"/>
          </w:divBdr>
        </w:div>
        <w:div w:id="462506735">
          <w:marLeft w:val="1166"/>
          <w:marRight w:val="0"/>
          <w:marTop w:val="86"/>
          <w:marBottom w:val="0"/>
          <w:divBdr>
            <w:top w:val="none" w:sz="0" w:space="0" w:color="auto"/>
            <w:left w:val="none" w:sz="0" w:space="0" w:color="auto"/>
            <w:bottom w:val="none" w:sz="0" w:space="0" w:color="auto"/>
            <w:right w:val="none" w:sz="0" w:space="0" w:color="auto"/>
          </w:divBdr>
        </w:div>
        <w:div w:id="952446082">
          <w:marLeft w:val="1166"/>
          <w:marRight w:val="0"/>
          <w:marTop w:val="86"/>
          <w:marBottom w:val="0"/>
          <w:divBdr>
            <w:top w:val="none" w:sz="0" w:space="0" w:color="auto"/>
            <w:left w:val="none" w:sz="0" w:space="0" w:color="auto"/>
            <w:bottom w:val="none" w:sz="0" w:space="0" w:color="auto"/>
            <w:right w:val="none" w:sz="0" w:space="0" w:color="auto"/>
          </w:divBdr>
        </w:div>
        <w:div w:id="964694048">
          <w:marLeft w:val="1166"/>
          <w:marRight w:val="0"/>
          <w:marTop w:val="86"/>
          <w:marBottom w:val="0"/>
          <w:divBdr>
            <w:top w:val="none" w:sz="0" w:space="0" w:color="auto"/>
            <w:left w:val="none" w:sz="0" w:space="0" w:color="auto"/>
            <w:bottom w:val="none" w:sz="0" w:space="0" w:color="auto"/>
            <w:right w:val="none" w:sz="0" w:space="0" w:color="auto"/>
          </w:divBdr>
        </w:div>
        <w:div w:id="1308634774">
          <w:marLeft w:val="547"/>
          <w:marRight w:val="0"/>
          <w:marTop w:val="96"/>
          <w:marBottom w:val="0"/>
          <w:divBdr>
            <w:top w:val="none" w:sz="0" w:space="0" w:color="auto"/>
            <w:left w:val="none" w:sz="0" w:space="0" w:color="auto"/>
            <w:bottom w:val="none" w:sz="0" w:space="0" w:color="auto"/>
            <w:right w:val="none" w:sz="0" w:space="0" w:color="auto"/>
          </w:divBdr>
        </w:div>
      </w:divsChild>
    </w:div>
    <w:div w:id="1293555661">
      <w:bodyDiv w:val="1"/>
      <w:marLeft w:val="0"/>
      <w:marRight w:val="0"/>
      <w:marTop w:val="0"/>
      <w:marBottom w:val="0"/>
      <w:divBdr>
        <w:top w:val="none" w:sz="0" w:space="0" w:color="auto"/>
        <w:left w:val="none" w:sz="0" w:space="0" w:color="auto"/>
        <w:bottom w:val="none" w:sz="0" w:space="0" w:color="auto"/>
        <w:right w:val="none" w:sz="0" w:space="0" w:color="auto"/>
      </w:divBdr>
    </w:div>
    <w:div w:id="1375277767">
      <w:bodyDiv w:val="1"/>
      <w:marLeft w:val="0"/>
      <w:marRight w:val="0"/>
      <w:marTop w:val="0"/>
      <w:marBottom w:val="0"/>
      <w:divBdr>
        <w:top w:val="none" w:sz="0" w:space="0" w:color="auto"/>
        <w:left w:val="none" w:sz="0" w:space="0" w:color="auto"/>
        <w:bottom w:val="none" w:sz="0" w:space="0" w:color="auto"/>
        <w:right w:val="none" w:sz="0" w:space="0" w:color="auto"/>
      </w:divBdr>
    </w:div>
    <w:div w:id="1417052041">
      <w:bodyDiv w:val="1"/>
      <w:marLeft w:val="0"/>
      <w:marRight w:val="0"/>
      <w:marTop w:val="0"/>
      <w:marBottom w:val="0"/>
      <w:divBdr>
        <w:top w:val="none" w:sz="0" w:space="0" w:color="auto"/>
        <w:left w:val="none" w:sz="0" w:space="0" w:color="auto"/>
        <w:bottom w:val="none" w:sz="0" w:space="0" w:color="auto"/>
        <w:right w:val="none" w:sz="0" w:space="0" w:color="auto"/>
      </w:divBdr>
      <w:divsChild>
        <w:div w:id="1806897797">
          <w:marLeft w:val="547"/>
          <w:marRight w:val="0"/>
          <w:marTop w:val="96"/>
          <w:marBottom w:val="0"/>
          <w:divBdr>
            <w:top w:val="none" w:sz="0" w:space="0" w:color="auto"/>
            <w:left w:val="none" w:sz="0" w:space="0" w:color="auto"/>
            <w:bottom w:val="none" w:sz="0" w:space="0" w:color="auto"/>
            <w:right w:val="none" w:sz="0" w:space="0" w:color="auto"/>
          </w:divBdr>
        </w:div>
        <w:div w:id="1422528939">
          <w:marLeft w:val="547"/>
          <w:marRight w:val="0"/>
          <w:marTop w:val="96"/>
          <w:marBottom w:val="0"/>
          <w:divBdr>
            <w:top w:val="none" w:sz="0" w:space="0" w:color="auto"/>
            <w:left w:val="none" w:sz="0" w:space="0" w:color="auto"/>
            <w:bottom w:val="none" w:sz="0" w:space="0" w:color="auto"/>
            <w:right w:val="none" w:sz="0" w:space="0" w:color="auto"/>
          </w:divBdr>
        </w:div>
        <w:div w:id="2084446393">
          <w:marLeft w:val="547"/>
          <w:marRight w:val="0"/>
          <w:marTop w:val="96"/>
          <w:marBottom w:val="0"/>
          <w:divBdr>
            <w:top w:val="none" w:sz="0" w:space="0" w:color="auto"/>
            <w:left w:val="none" w:sz="0" w:space="0" w:color="auto"/>
            <w:bottom w:val="none" w:sz="0" w:space="0" w:color="auto"/>
            <w:right w:val="none" w:sz="0" w:space="0" w:color="auto"/>
          </w:divBdr>
        </w:div>
        <w:div w:id="640380401">
          <w:marLeft w:val="547"/>
          <w:marRight w:val="0"/>
          <w:marTop w:val="96"/>
          <w:marBottom w:val="0"/>
          <w:divBdr>
            <w:top w:val="none" w:sz="0" w:space="0" w:color="auto"/>
            <w:left w:val="none" w:sz="0" w:space="0" w:color="auto"/>
            <w:bottom w:val="none" w:sz="0" w:space="0" w:color="auto"/>
            <w:right w:val="none" w:sz="0" w:space="0" w:color="auto"/>
          </w:divBdr>
        </w:div>
        <w:div w:id="946078922">
          <w:marLeft w:val="547"/>
          <w:marRight w:val="0"/>
          <w:marTop w:val="96"/>
          <w:marBottom w:val="0"/>
          <w:divBdr>
            <w:top w:val="none" w:sz="0" w:space="0" w:color="auto"/>
            <w:left w:val="none" w:sz="0" w:space="0" w:color="auto"/>
            <w:bottom w:val="none" w:sz="0" w:space="0" w:color="auto"/>
            <w:right w:val="none" w:sz="0" w:space="0" w:color="auto"/>
          </w:divBdr>
        </w:div>
        <w:div w:id="2123915133">
          <w:marLeft w:val="547"/>
          <w:marRight w:val="0"/>
          <w:marTop w:val="96"/>
          <w:marBottom w:val="0"/>
          <w:divBdr>
            <w:top w:val="none" w:sz="0" w:space="0" w:color="auto"/>
            <w:left w:val="none" w:sz="0" w:space="0" w:color="auto"/>
            <w:bottom w:val="none" w:sz="0" w:space="0" w:color="auto"/>
            <w:right w:val="none" w:sz="0" w:space="0" w:color="auto"/>
          </w:divBdr>
        </w:div>
      </w:divsChild>
    </w:div>
    <w:div w:id="1427262209">
      <w:bodyDiv w:val="1"/>
      <w:marLeft w:val="0"/>
      <w:marRight w:val="0"/>
      <w:marTop w:val="0"/>
      <w:marBottom w:val="0"/>
      <w:divBdr>
        <w:top w:val="none" w:sz="0" w:space="0" w:color="auto"/>
        <w:left w:val="none" w:sz="0" w:space="0" w:color="auto"/>
        <w:bottom w:val="none" w:sz="0" w:space="0" w:color="auto"/>
        <w:right w:val="none" w:sz="0" w:space="0" w:color="auto"/>
      </w:divBdr>
    </w:div>
    <w:div w:id="1453010801">
      <w:bodyDiv w:val="1"/>
      <w:marLeft w:val="0"/>
      <w:marRight w:val="0"/>
      <w:marTop w:val="0"/>
      <w:marBottom w:val="0"/>
      <w:divBdr>
        <w:top w:val="none" w:sz="0" w:space="0" w:color="auto"/>
        <w:left w:val="none" w:sz="0" w:space="0" w:color="auto"/>
        <w:bottom w:val="none" w:sz="0" w:space="0" w:color="auto"/>
        <w:right w:val="none" w:sz="0" w:space="0" w:color="auto"/>
      </w:divBdr>
    </w:div>
    <w:div w:id="1467118900">
      <w:bodyDiv w:val="1"/>
      <w:marLeft w:val="0"/>
      <w:marRight w:val="0"/>
      <w:marTop w:val="0"/>
      <w:marBottom w:val="0"/>
      <w:divBdr>
        <w:top w:val="none" w:sz="0" w:space="0" w:color="auto"/>
        <w:left w:val="none" w:sz="0" w:space="0" w:color="auto"/>
        <w:bottom w:val="none" w:sz="0" w:space="0" w:color="auto"/>
        <w:right w:val="none" w:sz="0" w:space="0" w:color="auto"/>
      </w:divBdr>
    </w:div>
    <w:div w:id="1468888558">
      <w:bodyDiv w:val="1"/>
      <w:marLeft w:val="0"/>
      <w:marRight w:val="0"/>
      <w:marTop w:val="0"/>
      <w:marBottom w:val="0"/>
      <w:divBdr>
        <w:top w:val="none" w:sz="0" w:space="0" w:color="auto"/>
        <w:left w:val="none" w:sz="0" w:space="0" w:color="auto"/>
        <w:bottom w:val="none" w:sz="0" w:space="0" w:color="auto"/>
        <w:right w:val="none" w:sz="0" w:space="0" w:color="auto"/>
      </w:divBdr>
    </w:div>
    <w:div w:id="1535388038">
      <w:bodyDiv w:val="1"/>
      <w:marLeft w:val="0"/>
      <w:marRight w:val="0"/>
      <w:marTop w:val="0"/>
      <w:marBottom w:val="0"/>
      <w:divBdr>
        <w:top w:val="none" w:sz="0" w:space="0" w:color="auto"/>
        <w:left w:val="none" w:sz="0" w:space="0" w:color="auto"/>
        <w:bottom w:val="none" w:sz="0" w:space="0" w:color="auto"/>
        <w:right w:val="none" w:sz="0" w:space="0" w:color="auto"/>
      </w:divBdr>
    </w:div>
    <w:div w:id="1584215044">
      <w:bodyDiv w:val="1"/>
      <w:marLeft w:val="0"/>
      <w:marRight w:val="0"/>
      <w:marTop w:val="0"/>
      <w:marBottom w:val="0"/>
      <w:divBdr>
        <w:top w:val="none" w:sz="0" w:space="0" w:color="auto"/>
        <w:left w:val="none" w:sz="0" w:space="0" w:color="auto"/>
        <w:bottom w:val="none" w:sz="0" w:space="0" w:color="auto"/>
        <w:right w:val="none" w:sz="0" w:space="0" w:color="auto"/>
      </w:divBdr>
      <w:divsChild>
        <w:div w:id="427777408">
          <w:marLeft w:val="547"/>
          <w:marRight w:val="0"/>
          <w:marTop w:val="96"/>
          <w:marBottom w:val="0"/>
          <w:divBdr>
            <w:top w:val="none" w:sz="0" w:space="0" w:color="auto"/>
            <w:left w:val="none" w:sz="0" w:space="0" w:color="auto"/>
            <w:bottom w:val="none" w:sz="0" w:space="0" w:color="auto"/>
            <w:right w:val="none" w:sz="0" w:space="0" w:color="auto"/>
          </w:divBdr>
        </w:div>
        <w:div w:id="645861445">
          <w:marLeft w:val="1166"/>
          <w:marRight w:val="0"/>
          <w:marTop w:val="86"/>
          <w:marBottom w:val="0"/>
          <w:divBdr>
            <w:top w:val="none" w:sz="0" w:space="0" w:color="auto"/>
            <w:left w:val="none" w:sz="0" w:space="0" w:color="auto"/>
            <w:bottom w:val="none" w:sz="0" w:space="0" w:color="auto"/>
            <w:right w:val="none" w:sz="0" w:space="0" w:color="auto"/>
          </w:divBdr>
        </w:div>
        <w:div w:id="1128206296">
          <w:marLeft w:val="1166"/>
          <w:marRight w:val="0"/>
          <w:marTop w:val="86"/>
          <w:marBottom w:val="0"/>
          <w:divBdr>
            <w:top w:val="none" w:sz="0" w:space="0" w:color="auto"/>
            <w:left w:val="none" w:sz="0" w:space="0" w:color="auto"/>
            <w:bottom w:val="none" w:sz="0" w:space="0" w:color="auto"/>
            <w:right w:val="none" w:sz="0" w:space="0" w:color="auto"/>
          </w:divBdr>
        </w:div>
        <w:div w:id="1138570235">
          <w:marLeft w:val="1166"/>
          <w:marRight w:val="0"/>
          <w:marTop w:val="86"/>
          <w:marBottom w:val="0"/>
          <w:divBdr>
            <w:top w:val="none" w:sz="0" w:space="0" w:color="auto"/>
            <w:left w:val="none" w:sz="0" w:space="0" w:color="auto"/>
            <w:bottom w:val="none" w:sz="0" w:space="0" w:color="auto"/>
            <w:right w:val="none" w:sz="0" w:space="0" w:color="auto"/>
          </w:divBdr>
        </w:div>
        <w:div w:id="906766265">
          <w:marLeft w:val="1166"/>
          <w:marRight w:val="0"/>
          <w:marTop w:val="86"/>
          <w:marBottom w:val="0"/>
          <w:divBdr>
            <w:top w:val="none" w:sz="0" w:space="0" w:color="auto"/>
            <w:left w:val="none" w:sz="0" w:space="0" w:color="auto"/>
            <w:bottom w:val="none" w:sz="0" w:space="0" w:color="auto"/>
            <w:right w:val="none" w:sz="0" w:space="0" w:color="auto"/>
          </w:divBdr>
        </w:div>
        <w:div w:id="586886427">
          <w:marLeft w:val="1166"/>
          <w:marRight w:val="0"/>
          <w:marTop w:val="86"/>
          <w:marBottom w:val="0"/>
          <w:divBdr>
            <w:top w:val="none" w:sz="0" w:space="0" w:color="auto"/>
            <w:left w:val="none" w:sz="0" w:space="0" w:color="auto"/>
            <w:bottom w:val="none" w:sz="0" w:space="0" w:color="auto"/>
            <w:right w:val="none" w:sz="0" w:space="0" w:color="auto"/>
          </w:divBdr>
        </w:div>
        <w:div w:id="934048609">
          <w:marLeft w:val="1166"/>
          <w:marRight w:val="0"/>
          <w:marTop w:val="86"/>
          <w:marBottom w:val="0"/>
          <w:divBdr>
            <w:top w:val="none" w:sz="0" w:space="0" w:color="auto"/>
            <w:left w:val="none" w:sz="0" w:space="0" w:color="auto"/>
            <w:bottom w:val="none" w:sz="0" w:space="0" w:color="auto"/>
            <w:right w:val="none" w:sz="0" w:space="0" w:color="auto"/>
          </w:divBdr>
        </w:div>
        <w:div w:id="933438749">
          <w:marLeft w:val="1166"/>
          <w:marRight w:val="0"/>
          <w:marTop w:val="86"/>
          <w:marBottom w:val="0"/>
          <w:divBdr>
            <w:top w:val="none" w:sz="0" w:space="0" w:color="auto"/>
            <w:left w:val="none" w:sz="0" w:space="0" w:color="auto"/>
            <w:bottom w:val="none" w:sz="0" w:space="0" w:color="auto"/>
            <w:right w:val="none" w:sz="0" w:space="0" w:color="auto"/>
          </w:divBdr>
        </w:div>
      </w:divsChild>
    </w:div>
    <w:div w:id="1601569848">
      <w:bodyDiv w:val="1"/>
      <w:marLeft w:val="0"/>
      <w:marRight w:val="0"/>
      <w:marTop w:val="0"/>
      <w:marBottom w:val="0"/>
      <w:divBdr>
        <w:top w:val="none" w:sz="0" w:space="0" w:color="auto"/>
        <w:left w:val="none" w:sz="0" w:space="0" w:color="auto"/>
        <w:bottom w:val="none" w:sz="0" w:space="0" w:color="auto"/>
        <w:right w:val="none" w:sz="0" w:space="0" w:color="auto"/>
      </w:divBdr>
    </w:div>
    <w:div w:id="1613315836">
      <w:bodyDiv w:val="1"/>
      <w:marLeft w:val="0"/>
      <w:marRight w:val="0"/>
      <w:marTop w:val="0"/>
      <w:marBottom w:val="0"/>
      <w:divBdr>
        <w:top w:val="none" w:sz="0" w:space="0" w:color="auto"/>
        <w:left w:val="none" w:sz="0" w:space="0" w:color="auto"/>
        <w:bottom w:val="none" w:sz="0" w:space="0" w:color="auto"/>
        <w:right w:val="none" w:sz="0" w:space="0" w:color="auto"/>
      </w:divBdr>
    </w:div>
    <w:div w:id="1622959333">
      <w:bodyDiv w:val="1"/>
      <w:marLeft w:val="0"/>
      <w:marRight w:val="0"/>
      <w:marTop w:val="0"/>
      <w:marBottom w:val="0"/>
      <w:divBdr>
        <w:top w:val="none" w:sz="0" w:space="0" w:color="auto"/>
        <w:left w:val="none" w:sz="0" w:space="0" w:color="auto"/>
        <w:bottom w:val="none" w:sz="0" w:space="0" w:color="auto"/>
        <w:right w:val="none" w:sz="0" w:space="0" w:color="auto"/>
      </w:divBdr>
      <w:divsChild>
        <w:div w:id="1309362133">
          <w:marLeft w:val="547"/>
          <w:marRight w:val="0"/>
          <w:marTop w:val="0"/>
          <w:marBottom w:val="0"/>
          <w:divBdr>
            <w:top w:val="none" w:sz="0" w:space="0" w:color="auto"/>
            <w:left w:val="none" w:sz="0" w:space="0" w:color="auto"/>
            <w:bottom w:val="none" w:sz="0" w:space="0" w:color="auto"/>
            <w:right w:val="none" w:sz="0" w:space="0" w:color="auto"/>
          </w:divBdr>
        </w:div>
        <w:div w:id="349113676">
          <w:marLeft w:val="1166"/>
          <w:marRight w:val="0"/>
          <w:marTop w:val="0"/>
          <w:marBottom w:val="0"/>
          <w:divBdr>
            <w:top w:val="none" w:sz="0" w:space="0" w:color="auto"/>
            <w:left w:val="none" w:sz="0" w:space="0" w:color="auto"/>
            <w:bottom w:val="none" w:sz="0" w:space="0" w:color="auto"/>
            <w:right w:val="none" w:sz="0" w:space="0" w:color="auto"/>
          </w:divBdr>
        </w:div>
        <w:div w:id="1216501505">
          <w:marLeft w:val="1166"/>
          <w:marRight w:val="0"/>
          <w:marTop w:val="0"/>
          <w:marBottom w:val="0"/>
          <w:divBdr>
            <w:top w:val="none" w:sz="0" w:space="0" w:color="auto"/>
            <w:left w:val="none" w:sz="0" w:space="0" w:color="auto"/>
            <w:bottom w:val="none" w:sz="0" w:space="0" w:color="auto"/>
            <w:right w:val="none" w:sz="0" w:space="0" w:color="auto"/>
          </w:divBdr>
        </w:div>
        <w:div w:id="1145505765">
          <w:marLeft w:val="1166"/>
          <w:marRight w:val="0"/>
          <w:marTop w:val="0"/>
          <w:marBottom w:val="0"/>
          <w:divBdr>
            <w:top w:val="none" w:sz="0" w:space="0" w:color="auto"/>
            <w:left w:val="none" w:sz="0" w:space="0" w:color="auto"/>
            <w:bottom w:val="none" w:sz="0" w:space="0" w:color="auto"/>
            <w:right w:val="none" w:sz="0" w:space="0" w:color="auto"/>
          </w:divBdr>
        </w:div>
        <w:div w:id="850217241">
          <w:marLeft w:val="1166"/>
          <w:marRight w:val="0"/>
          <w:marTop w:val="0"/>
          <w:marBottom w:val="0"/>
          <w:divBdr>
            <w:top w:val="none" w:sz="0" w:space="0" w:color="auto"/>
            <w:left w:val="none" w:sz="0" w:space="0" w:color="auto"/>
            <w:bottom w:val="none" w:sz="0" w:space="0" w:color="auto"/>
            <w:right w:val="none" w:sz="0" w:space="0" w:color="auto"/>
          </w:divBdr>
        </w:div>
      </w:divsChild>
    </w:div>
    <w:div w:id="1645499652">
      <w:bodyDiv w:val="1"/>
      <w:marLeft w:val="0"/>
      <w:marRight w:val="0"/>
      <w:marTop w:val="0"/>
      <w:marBottom w:val="0"/>
      <w:divBdr>
        <w:top w:val="none" w:sz="0" w:space="0" w:color="auto"/>
        <w:left w:val="none" w:sz="0" w:space="0" w:color="auto"/>
        <w:bottom w:val="none" w:sz="0" w:space="0" w:color="auto"/>
        <w:right w:val="none" w:sz="0" w:space="0" w:color="auto"/>
      </w:divBdr>
    </w:div>
    <w:div w:id="1738286067">
      <w:bodyDiv w:val="1"/>
      <w:marLeft w:val="0"/>
      <w:marRight w:val="0"/>
      <w:marTop w:val="0"/>
      <w:marBottom w:val="0"/>
      <w:divBdr>
        <w:top w:val="none" w:sz="0" w:space="0" w:color="auto"/>
        <w:left w:val="none" w:sz="0" w:space="0" w:color="auto"/>
        <w:bottom w:val="none" w:sz="0" w:space="0" w:color="auto"/>
        <w:right w:val="none" w:sz="0" w:space="0" w:color="auto"/>
      </w:divBdr>
    </w:div>
    <w:div w:id="1799376417">
      <w:bodyDiv w:val="1"/>
      <w:marLeft w:val="0"/>
      <w:marRight w:val="0"/>
      <w:marTop w:val="0"/>
      <w:marBottom w:val="0"/>
      <w:divBdr>
        <w:top w:val="none" w:sz="0" w:space="0" w:color="auto"/>
        <w:left w:val="none" w:sz="0" w:space="0" w:color="auto"/>
        <w:bottom w:val="none" w:sz="0" w:space="0" w:color="auto"/>
        <w:right w:val="none" w:sz="0" w:space="0" w:color="auto"/>
      </w:divBdr>
    </w:div>
    <w:div w:id="1816532632">
      <w:bodyDiv w:val="1"/>
      <w:marLeft w:val="0"/>
      <w:marRight w:val="0"/>
      <w:marTop w:val="0"/>
      <w:marBottom w:val="0"/>
      <w:divBdr>
        <w:top w:val="none" w:sz="0" w:space="0" w:color="auto"/>
        <w:left w:val="none" w:sz="0" w:space="0" w:color="auto"/>
        <w:bottom w:val="none" w:sz="0" w:space="0" w:color="auto"/>
        <w:right w:val="none" w:sz="0" w:space="0" w:color="auto"/>
      </w:divBdr>
    </w:div>
    <w:div w:id="1853375773">
      <w:bodyDiv w:val="1"/>
      <w:marLeft w:val="0"/>
      <w:marRight w:val="0"/>
      <w:marTop w:val="0"/>
      <w:marBottom w:val="0"/>
      <w:divBdr>
        <w:top w:val="none" w:sz="0" w:space="0" w:color="auto"/>
        <w:left w:val="none" w:sz="0" w:space="0" w:color="auto"/>
        <w:bottom w:val="none" w:sz="0" w:space="0" w:color="auto"/>
        <w:right w:val="none" w:sz="0" w:space="0" w:color="auto"/>
      </w:divBdr>
    </w:div>
    <w:div w:id="1864126083">
      <w:bodyDiv w:val="1"/>
      <w:marLeft w:val="0"/>
      <w:marRight w:val="0"/>
      <w:marTop w:val="0"/>
      <w:marBottom w:val="0"/>
      <w:divBdr>
        <w:top w:val="none" w:sz="0" w:space="0" w:color="auto"/>
        <w:left w:val="none" w:sz="0" w:space="0" w:color="auto"/>
        <w:bottom w:val="none" w:sz="0" w:space="0" w:color="auto"/>
        <w:right w:val="none" w:sz="0" w:space="0" w:color="auto"/>
      </w:divBdr>
    </w:div>
    <w:div w:id="1927836005">
      <w:bodyDiv w:val="1"/>
      <w:marLeft w:val="0"/>
      <w:marRight w:val="0"/>
      <w:marTop w:val="0"/>
      <w:marBottom w:val="0"/>
      <w:divBdr>
        <w:top w:val="none" w:sz="0" w:space="0" w:color="auto"/>
        <w:left w:val="none" w:sz="0" w:space="0" w:color="auto"/>
        <w:bottom w:val="none" w:sz="0" w:space="0" w:color="auto"/>
        <w:right w:val="none" w:sz="0" w:space="0" w:color="auto"/>
      </w:divBdr>
    </w:div>
    <w:div w:id="1972856201">
      <w:bodyDiv w:val="1"/>
      <w:marLeft w:val="0"/>
      <w:marRight w:val="0"/>
      <w:marTop w:val="0"/>
      <w:marBottom w:val="0"/>
      <w:divBdr>
        <w:top w:val="none" w:sz="0" w:space="0" w:color="auto"/>
        <w:left w:val="none" w:sz="0" w:space="0" w:color="auto"/>
        <w:bottom w:val="none" w:sz="0" w:space="0" w:color="auto"/>
        <w:right w:val="none" w:sz="0" w:space="0" w:color="auto"/>
      </w:divBdr>
      <w:divsChild>
        <w:div w:id="1395086082">
          <w:marLeft w:val="547"/>
          <w:marRight w:val="0"/>
          <w:marTop w:val="134"/>
          <w:marBottom w:val="0"/>
          <w:divBdr>
            <w:top w:val="none" w:sz="0" w:space="0" w:color="auto"/>
            <w:left w:val="none" w:sz="0" w:space="0" w:color="auto"/>
            <w:bottom w:val="none" w:sz="0" w:space="0" w:color="auto"/>
            <w:right w:val="none" w:sz="0" w:space="0" w:color="auto"/>
          </w:divBdr>
        </w:div>
        <w:div w:id="891886185">
          <w:marLeft w:val="547"/>
          <w:marRight w:val="0"/>
          <w:marTop w:val="134"/>
          <w:marBottom w:val="0"/>
          <w:divBdr>
            <w:top w:val="none" w:sz="0" w:space="0" w:color="auto"/>
            <w:left w:val="none" w:sz="0" w:space="0" w:color="auto"/>
            <w:bottom w:val="none" w:sz="0" w:space="0" w:color="auto"/>
            <w:right w:val="none" w:sz="0" w:space="0" w:color="auto"/>
          </w:divBdr>
        </w:div>
        <w:div w:id="940534174">
          <w:marLeft w:val="547"/>
          <w:marRight w:val="0"/>
          <w:marTop w:val="134"/>
          <w:marBottom w:val="0"/>
          <w:divBdr>
            <w:top w:val="none" w:sz="0" w:space="0" w:color="auto"/>
            <w:left w:val="none" w:sz="0" w:space="0" w:color="auto"/>
            <w:bottom w:val="none" w:sz="0" w:space="0" w:color="auto"/>
            <w:right w:val="none" w:sz="0" w:space="0" w:color="auto"/>
          </w:divBdr>
        </w:div>
        <w:div w:id="611670776">
          <w:marLeft w:val="547"/>
          <w:marRight w:val="0"/>
          <w:marTop w:val="134"/>
          <w:marBottom w:val="0"/>
          <w:divBdr>
            <w:top w:val="none" w:sz="0" w:space="0" w:color="auto"/>
            <w:left w:val="none" w:sz="0" w:space="0" w:color="auto"/>
            <w:bottom w:val="none" w:sz="0" w:space="0" w:color="auto"/>
            <w:right w:val="none" w:sz="0" w:space="0" w:color="auto"/>
          </w:divBdr>
        </w:div>
      </w:divsChild>
    </w:div>
    <w:div w:id="2121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cationcluster.box.com/s/papp3rq4kfh2pop9rpeg8kgpvimeo4j0" TargetMode="External"/><Relationship Id="rId18" Type="http://schemas.openxmlformats.org/officeDocument/2006/relationships/image" Target="media/image2.png"/><Relationship Id="rId26" Type="http://schemas.openxmlformats.org/officeDocument/2006/relationships/hyperlink" Target="https://reliefweb.int/sites/reliefweb.int/files/resources/Children_Participation_Humanitarian_Guidelines.pdf" TargetMode="External"/><Relationship Id="rId3" Type="http://schemas.openxmlformats.org/officeDocument/2006/relationships/customXml" Target="../customXml/item3.xml"/><Relationship Id="rId21" Type="http://schemas.openxmlformats.org/officeDocument/2006/relationships/hyperlink" Target="https://resourcecentre.savethechildren.net/node/2693/pdf/docs-51542-v1-spider_tool_facilitator_s_guideno3_pdf.pdf" TargetMode="External"/><Relationship Id="rId7" Type="http://schemas.openxmlformats.org/officeDocument/2006/relationships/settings" Target="settings.xml"/><Relationship Id="rId12" Type="http://schemas.openxmlformats.org/officeDocument/2006/relationships/hyperlink" Target="https://educationcluster.box.com/s/x1knlkvrfg71hbe0c3qtdouklom553aq" TargetMode="External"/><Relationship Id="rId17" Type="http://schemas.openxmlformats.org/officeDocument/2006/relationships/hyperlink" Target="https://educationcluster.box.com/s/d60qa1qnile2lmiiyeyu8220qp7il4ho"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educationcluster.box.com/s/pgg97uwzkg8bfr6mvd0sr790hh1dxkfb" TargetMode="External"/><Relationship Id="rId20" Type="http://schemas.openxmlformats.org/officeDocument/2006/relationships/hyperlink" Target="https://reliefweb.int/sites/reliefweb.int/files/resources/Children_Participation_Humanitarian_Guidelines.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resourcecentre.savethechildren.net/node/2693/pdf/docs-51542-v1-spider_tool_facilitator_s_guideno3_pdf.pdf" TargetMode="External"/><Relationship Id="rId5" Type="http://schemas.openxmlformats.org/officeDocument/2006/relationships/numbering" Target="numbering.xml"/><Relationship Id="rId15" Type="http://schemas.openxmlformats.org/officeDocument/2006/relationships/hyperlink" Target="https://educationcluster.box.com/s/jx2uvczziztjr28t1yz30hs24amnmtpa" TargetMode="External"/><Relationship Id="rId23" Type="http://schemas.openxmlformats.org/officeDocument/2006/relationships/hyperlink" Target="https://reliefweb.int/sites/reliefweb.int/files/resources/Children_Participation_Humanitarian_Guidelines.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cationcluster.box.com/s/7s0xvd8xiwfpwmxsy18maby1m3aa61ip" TargetMode="External"/><Relationship Id="rId22" Type="http://schemas.openxmlformats.org/officeDocument/2006/relationships/hyperlink" Target="https://reliefweb.int/sites/reliefweb.int/files/resources/Children_Participation_Humanitarian_Guidelines.pdf"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jemv082do5s80p270fswgwjwbn5kuf1g" TargetMode="External"/><Relationship Id="rId2" Type="http://schemas.openxmlformats.org/officeDocument/2006/relationships/image" Target="media/image6.png"/><Relationship Id="rId1"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CE317431CEBC147987F05DAE86A27F6" ma:contentTypeVersion="12" ma:contentTypeDescription="Opret et nyt dokument." ma:contentTypeScope="" ma:versionID="42634b7ec19e917f5fbe1dd32a57591c">
  <xsd:schema xmlns:xsd="http://www.w3.org/2001/XMLSchema" xmlns:xs="http://www.w3.org/2001/XMLSchema" xmlns:p="http://schemas.microsoft.com/office/2006/metadata/properties" xmlns:ns3="082b9dea-9a63-434d-b57e-688050f99571" xmlns:ns4="bde28165-fc8c-44bd-870d-8513c2d38fe2" targetNamespace="http://schemas.microsoft.com/office/2006/metadata/properties" ma:root="true" ma:fieldsID="098dad9c92e3b68c5bf02ecba36bac5e" ns3:_="" ns4:_="">
    <xsd:import namespace="082b9dea-9a63-434d-b57e-688050f99571"/>
    <xsd:import namespace="bde28165-fc8c-44bd-870d-8513c2d38fe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2b9dea-9a63-434d-b57e-688050f995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e28165-fc8c-44bd-870d-8513c2d38fe2"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85F0FE-8C6C-4548-B0E0-EE50B49F9E09}">
  <ds:schemaRefs>
    <ds:schemaRef ds:uri="http://schemas.openxmlformats.org/officeDocument/2006/bibliography"/>
  </ds:schemaRefs>
</ds:datastoreItem>
</file>

<file path=customXml/itemProps2.xml><?xml version="1.0" encoding="utf-8"?>
<ds:datastoreItem xmlns:ds="http://schemas.openxmlformats.org/officeDocument/2006/customXml" ds:itemID="{240AB04F-4CDA-4428-9947-64BD10D29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2b9dea-9a63-434d-b57e-688050f99571"/>
    <ds:schemaRef ds:uri="bde28165-fc8c-44bd-870d-8513c2d38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B6DFDC-56D6-4FEE-A366-19DF846C4899}">
  <ds:schemaRefs>
    <ds:schemaRef ds:uri="http://schemas.microsoft.com/sharepoint/v3/contenttype/forms"/>
  </ds:schemaRefs>
</ds:datastoreItem>
</file>

<file path=customXml/itemProps4.xml><?xml version="1.0" encoding="utf-8"?>
<ds:datastoreItem xmlns:ds="http://schemas.openxmlformats.org/officeDocument/2006/customXml" ds:itemID="{55DC159B-FB4C-4DA9-B1CE-CBB92F1177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3224</Words>
  <Characters>18383</Characters>
  <Application>Microsoft Office Word</Application>
  <DocSecurity>0</DocSecurity>
  <Lines>153</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 AoR</dc:creator>
  <cp:keywords/>
  <dc:description/>
  <cp:lastModifiedBy>Monserez, Mackenzie</cp:lastModifiedBy>
  <cp:revision>5</cp:revision>
  <cp:lastPrinted>2020-02-13T08:37:00Z</cp:lastPrinted>
  <dcterms:created xsi:type="dcterms:W3CDTF">2020-11-17T14:41:00Z</dcterms:created>
  <dcterms:modified xsi:type="dcterms:W3CDTF">2020-11-30T15:54:00Z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840c0f8-1866-4162-ad0f-2d70e03cc773_Enabled">
    <vt:lpwstr>True</vt:lpwstr>
  </property>
  <property fmtid="{D5CDD505-2E9C-101B-9397-08002B2CF9AE}" pid="3" name="MSIP_Label_7840c0f8-1866-4162-ad0f-2d70e03cc773_SiteId">
    <vt:lpwstr>b738c0f4-215a-438a-ad8b-3a8b60351c56</vt:lpwstr>
  </property>
  <property fmtid="{D5CDD505-2E9C-101B-9397-08002B2CF9AE}" pid="4" name="MSIP_Label_7840c0f8-1866-4162-ad0f-2d70e03cc773_Owner">
    <vt:lpwstr>meh@redbarnet.dk</vt:lpwstr>
  </property>
  <property fmtid="{D5CDD505-2E9C-101B-9397-08002B2CF9AE}" pid="5" name="MSIP_Label_7840c0f8-1866-4162-ad0f-2d70e03cc773_SetDate">
    <vt:lpwstr>2020-06-29T15:39:52.1422133Z</vt:lpwstr>
  </property>
  <property fmtid="{D5CDD505-2E9C-101B-9397-08002B2CF9AE}" pid="6" name="MSIP_Label_7840c0f8-1866-4162-ad0f-2d70e03cc773_Name">
    <vt:lpwstr>Public - Offentlig</vt:lpwstr>
  </property>
  <property fmtid="{D5CDD505-2E9C-101B-9397-08002B2CF9AE}" pid="7" name="MSIP_Label_7840c0f8-1866-4162-ad0f-2d70e03cc773_Application">
    <vt:lpwstr>Microsoft Azure Information Protection</vt:lpwstr>
  </property>
  <property fmtid="{D5CDD505-2E9C-101B-9397-08002B2CF9AE}" pid="8" name="MSIP_Label_7840c0f8-1866-4162-ad0f-2d70e03cc773_ActionId">
    <vt:lpwstr>10669f89-f47b-4488-9288-80a97e24fa17</vt:lpwstr>
  </property>
  <property fmtid="{D5CDD505-2E9C-101B-9397-08002B2CF9AE}" pid="9" name="MSIP_Label_7840c0f8-1866-4162-ad0f-2d70e03cc773_Extended_MSFT_Method">
    <vt:lpwstr>Automatic</vt:lpwstr>
  </property>
  <property fmtid="{D5CDD505-2E9C-101B-9397-08002B2CF9AE}" pid="10" name="Sensitivity">
    <vt:lpwstr>Public - Offentlig</vt:lpwstr>
  </property>
  <property fmtid="{D5CDD505-2E9C-101B-9397-08002B2CF9AE}" pid="11" name="ContentTypeId">
    <vt:lpwstr>0x0101006CE317431CEBC147987F05DAE86A27F6</vt:lpwstr>
  </property>
</Properties>
</file>